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13.xml" ContentType="application/vnd.openxmlformats-officedocument.wordprocessingml.header+xml"/>
  <Override PartName="/word/footer17.xml" ContentType="application/vnd.openxmlformats-officedocument.wordprocessingml.footer+xml"/>
  <Override PartName="/word/header14.xml" ContentType="application/vnd.openxmlformats-officedocument.wordprocessingml.header+xml"/>
  <Override PartName="/word/footer18.xml" ContentType="application/vnd.openxmlformats-officedocument.wordprocessingml.footer+xml"/>
  <Override PartName="/word/header15.xml" ContentType="application/vnd.openxmlformats-officedocument.wordprocessingml.header+xml"/>
  <Override PartName="/word/footer19.xml" ContentType="application/vnd.openxmlformats-officedocument.wordprocessingml.footer+xml"/>
  <Override PartName="/word/header16.xml" ContentType="application/vnd.openxmlformats-officedocument.wordprocessingml.header+xml"/>
  <Override PartName="/word/footer20.xml" ContentType="application/vnd.openxmlformats-officedocument.wordprocessingml.footer+xml"/>
  <Override PartName="/word/header17.xml" ContentType="application/vnd.openxmlformats-officedocument.wordprocessingml.header+xml"/>
  <Override PartName="/word/footer2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14A3" w:rsidRPr="00155AF3" w:rsidRDefault="000714A3" w:rsidP="000714A3">
      <w:pPr>
        <w:spacing w:line="240" w:lineRule="auto"/>
        <w:ind w:firstLine="0"/>
        <w:jc w:val="center"/>
        <w:rPr>
          <w:b/>
          <w:szCs w:val="24"/>
        </w:rPr>
      </w:pPr>
      <w:r w:rsidRPr="00155AF3">
        <w:rPr>
          <w:b/>
          <w:szCs w:val="24"/>
        </w:rPr>
        <w:t>REPUBLIQUE ALGERIENNE DEMOCRATIQUE ET POPULAIRE</w:t>
      </w:r>
    </w:p>
    <w:p w:rsidR="000714A3" w:rsidRPr="00155AF3" w:rsidRDefault="000714A3" w:rsidP="000714A3">
      <w:pPr>
        <w:spacing w:line="240" w:lineRule="auto"/>
        <w:ind w:firstLine="0"/>
        <w:jc w:val="center"/>
        <w:rPr>
          <w:b/>
          <w:szCs w:val="24"/>
        </w:rPr>
      </w:pPr>
      <w:r w:rsidRPr="00155AF3">
        <w:rPr>
          <w:b/>
          <w:noProof/>
          <w:szCs w:val="24"/>
        </w:rPr>
        <w:drawing>
          <wp:anchor distT="0" distB="0" distL="114300" distR="114300" simplePos="0" relativeHeight="251701248" behindDoc="0" locked="0" layoutInCell="1" allowOverlap="1" wp14:anchorId="34049ED0" wp14:editId="304D596C">
            <wp:simplePos x="0" y="0"/>
            <wp:positionH relativeFrom="column">
              <wp:posOffset>5246288</wp:posOffset>
            </wp:positionH>
            <wp:positionV relativeFrom="paragraph">
              <wp:posOffset>186641</wp:posOffset>
            </wp:positionV>
            <wp:extent cx="1020040" cy="748145"/>
            <wp:effectExtent l="19050" t="0" r="8660" b="0"/>
            <wp:wrapNone/>
            <wp:docPr id="74"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020040" cy="748145"/>
                    </a:xfrm>
                    <a:prstGeom prst="rect">
                      <a:avLst/>
                    </a:prstGeom>
                    <a:noFill/>
                    <a:ln w="9525">
                      <a:noFill/>
                      <a:miter lim="800000"/>
                      <a:headEnd/>
                      <a:tailEnd/>
                    </a:ln>
                  </pic:spPr>
                </pic:pic>
              </a:graphicData>
            </a:graphic>
          </wp:anchor>
        </w:drawing>
      </w:r>
      <w:r w:rsidRPr="00155AF3">
        <w:rPr>
          <w:b/>
          <w:noProof/>
          <w:szCs w:val="24"/>
        </w:rPr>
        <w:drawing>
          <wp:anchor distT="0" distB="0" distL="114300" distR="114300" simplePos="0" relativeHeight="251702272" behindDoc="0" locked="0" layoutInCell="1" allowOverlap="1" wp14:anchorId="226C3F21" wp14:editId="2DBEA5FD">
            <wp:simplePos x="0" y="0"/>
            <wp:positionH relativeFrom="column">
              <wp:posOffset>-419100</wp:posOffset>
            </wp:positionH>
            <wp:positionV relativeFrom="paragraph">
              <wp:posOffset>151130</wp:posOffset>
            </wp:positionV>
            <wp:extent cx="1028700" cy="745490"/>
            <wp:effectExtent l="1905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srcRect/>
                    <a:stretch>
                      <a:fillRect/>
                    </a:stretch>
                  </pic:blipFill>
                  <pic:spPr bwMode="auto">
                    <a:xfrm>
                      <a:off x="0" y="0"/>
                      <a:ext cx="1028700" cy="745490"/>
                    </a:xfrm>
                    <a:prstGeom prst="rect">
                      <a:avLst/>
                    </a:prstGeom>
                    <a:noFill/>
                    <a:ln w="9525">
                      <a:noFill/>
                      <a:miter lim="800000"/>
                      <a:headEnd/>
                      <a:tailEnd/>
                    </a:ln>
                  </pic:spPr>
                </pic:pic>
              </a:graphicData>
            </a:graphic>
          </wp:anchor>
        </w:drawing>
      </w:r>
      <w:r w:rsidRPr="00155AF3">
        <w:rPr>
          <w:b/>
          <w:szCs w:val="24"/>
        </w:rPr>
        <w:t xml:space="preserve">MINISTERE DE L’ENSEIGNEMENT SUPERIEUR ET DE LA </w:t>
      </w:r>
    </w:p>
    <w:p w:rsidR="000714A3" w:rsidRPr="00155AF3" w:rsidRDefault="000714A3" w:rsidP="000714A3">
      <w:pPr>
        <w:spacing w:line="240" w:lineRule="auto"/>
        <w:ind w:firstLine="0"/>
        <w:jc w:val="center"/>
        <w:rPr>
          <w:b/>
          <w:szCs w:val="24"/>
        </w:rPr>
      </w:pPr>
      <w:r w:rsidRPr="00155AF3">
        <w:rPr>
          <w:b/>
          <w:szCs w:val="24"/>
        </w:rPr>
        <w:t>RECHERCHE SCIENTIFIQUE</w:t>
      </w:r>
    </w:p>
    <w:p w:rsidR="000714A3" w:rsidRPr="00155AF3" w:rsidRDefault="000714A3" w:rsidP="000714A3">
      <w:pPr>
        <w:spacing w:line="240" w:lineRule="auto"/>
        <w:ind w:firstLine="0"/>
        <w:jc w:val="center"/>
        <w:rPr>
          <w:b/>
          <w:szCs w:val="24"/>
        </w:rPr>
      </w:pPr>
      <w:r w:rsidRPr="00155AF3">
        <w:rPr>
          <w:b/>
          <w:szCs w:val="24"/>
        </w:rPr>
        <w:t>UNIVERSITE MOULOUD MAMMERI DE TIZI-OUZOU</w:t>
      </w:r>
    </w:p>
    <w:p w:rsidR="000714A3" w:rsidRPr="00155AF3" w:rsidRDefault="000714A3" w:rsidP="000714A3">
      <w:pPr>
        <w:ind w:firstLine="0"/>
        <w:jc w:val="center"/>
        <w:rPr>
          <w:b/>
          <w:szCs w:val="24"/>
        </w:rPr>
      </w:pPr>
      <w:r w:rsidRPr="00155AF3">
        <w:rPr>
          <w:b/>
          <w:noProof/>
          <w:szCs w:val="24"/>
        </w:rPr>
        <w:drawing>
          <wp:inline distT="0" distB="0" distL="0" distR="0" wp14:anchorId="05F29BF4" wp14:editId="4755863B">
            <wp:extent cx="2755265" cy="237490"/>
            <wp:effectExtent l="19050" t="0" r="6985" b="0"/>
            <wp:docPr id="7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2755265" cy="237490"/>
                    </a:xfrm>
                    <a:prstGeom prst="rect">
                      <a:avLst/>
                    </a:prstGeom>
                    <a:noFill/>
                    <a:ln w="9525">
                      <a:noFill/>
                      <a:miter lim="800000"/>
                      <a:headEnd/>
                      <a:tailEnd/>
                    </a:ln>
                  </pic:spPr>
                </pic:pic>
              </a:graphicData>
            </a:graphic>
          </wp:inline>
        </w:drawing>
      </w:r>
    </w:p>
    <w:p w:rsidR="000714A3" w:rsidRPr="00155AF3" w:rsidRDefault="000714A3" w:rsidP="000714A3">
      <w:pPr>
        <w:spacing w:before="0" w:after="0"/>
        <w:ind w:firstLine="0"/>
        <w:jc w:val="center"/>
        <w:rPr>
          <w:rFonts w:ascii="Century Gothic" w:hAnsi="Century Gothic"/>
          <w:b/>
          <w:szCs w:val="24"/>
        </w:rPr>
      </w:pPr>
      <w:r w:rsidRPr="00155AF3">
        <w:rPr>
          <w:rFonts w:ascii="Century Gothic" w:hAnsi="Century Gothic"/>
          <w:b/>
          <w:szCs w:val="24"/>
        </w:rPr>
        <w:t>FACULTE DES SCIENCES ECONOMIQUES, COMMERCIALES ET DES SCIENCES DE GESTION</w:t>
      </w:r>
    </w:p>
    <w:p w:rsidR="000714A3" w:rsidRPr="00155AF3" w:rsidRDefault="000714A3" w:rsidP="000714A3">
      <w:pPr>
        <w:spacing w:before="0" w:after="0"/>
        <w:ind w:firstLine="0"/>
        <w:jc w:val="center"/>
        <w:rPr>
          <w:rFonts w:ascii="Century Gothic" w:hAnsi="Century Gothic"/>
          <w:szCs w:val="24"/>
        </w:rPr>
      </w:pPr>
      <w:r w:rsidRPr="00155AF3">
        <w:rPr>
          <w:rFonts w:ascii="Century Gothic" w:hAnsi="Century Gothic"/>
          <w:b/>
          <w:szCs w:val="24"/>
        </w:rPr>
        <w:t>DEPARTEMENT DES SCIENCES ECONOMIQUES</w:t>
      </w:r>
    </w:p>
    <w:p w:rsidR="000714A3" w:rsidRPr="00155AF3" w:rsidRDefault="00CC0573" w:rsidP="000714A3">
      <w:pPr>
        <w:ind w:firstLine="0"/>
        <w:rPr>
          <w:szCs w:val="24"/>
        </w:rPr>
      </w:pPr>
      <w:r>
        <w:rPr>
          <w:noProof/>
          <w:szCs w:val="24"/>
        </w:rPr>
        <mc:AlternateContent>
          <mc:Choice Requires="wps">
            <w:drawing>
              <wp:anchor distT="0" distB="0" distL="114300" distR="114300" simplePos="0" relativeHeight="251699200" behindDoc="0" locked="0" layoutInCell="1" allowOverlap="1" wp14:anchorId="370B4DD1" wp14:editId="47B5103C">
                <wp:simplePos x="0" y="0"/>
                <wp:positionH relativeFrom="margin">
                  <wp:align>center</wp:align>
                </wp:positionH>
                <wp:positionV relativeFrom="paragraph">
                  <wp:posOffset>55880</wp:posOffset>
                </wp:positionV>
                <wp:extent cx="5925185" cy="1460500"/>
                <wp:effectExtent l="0" t="0" r="0" b="6350"/>
                <wp:wrapNone/>
                <wp:docPr id="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185" cy="146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6CCF" w:rsidRDefault="00826CCF" w:rsidP="00667D6D">
                            <w:pPr>
                              <w:pStyle w:val="Titre4"/>
                              <w:numPr>
                                <w:ilvl w:val="0"/>
                                <w:numId w:val="0"/>
                              </w:numPr>
                              <w:spacing w:before="0" w:line="240" w:lineRule="auto"/>
                              <w:jc w:val="center"/>
                              <w:rPr>
                                <w:sz w:val="40"/>
                              </w:rPr>
                            </w:pPr>
                            <w:r w:rsidRPr="00345EDA">
                              <w:rPr>
                                <w:sz w:val="40"/>
                              </w:rPr>
                              <w:t>Mémoire de fin d’étude en vue de l’obtention du Diplôme de Master en Sciences Economiques</w:t>
                            </w:r>
                          </w:p>
                          <w:p w:rsidR="00826CCF" w:rsidRPr="000714A3" w:rsidRDefault="00826CCF" w:rsidP="00667D6D">
                            <w:pPr>
                              <w:pStyle w:val="Titre4"/>
                              <w:numPr>
                                <w:ilvl w:val="0"/>
                                <w:numId w:val="0"/>
                              </w:numPr>
                              <w:spacing w:before="0" w:line="240" w:lineRule="auto"/>
                              <w:jc w:val="center"/>
                              <w:rPr>
                                <w:b w:val="0"/>
                                <w:bCs w:val="0"/>
                                <w:i/>
                                <w:sz w:val="40"/>
                              </w:rPr>
                            </w:pPr>
                            <w:r w:rsidRPr="00345EDA">
                              <w:rPr>
                                <w:sz w:val="40"/>
                              </w:rPr>
                              <w:t xml:space="preserve">Option : </w:t>
                            </w:r>
                            <w:r>
                              <w:rPr>
                                <w:sz w:val="40"/>
                              </w:rPr>
                              <w:t>Monnaie, Finance et</w:t>
                            </w:r>
                            <w:r w:rsidRPr="00345EDA">
                              <w:rPr>
                                <w:sz w:val="40"/>
                              </w:rPr>
                              <w:t xml:space="preserve"> Banque</w:t>
                            </w:r>
                          </w:p>
                          <w:p w:rsidR="00826CCF" w:rsidRPr="00345EDA" w:rsidRDefault="00826CCF" w:rsidP="000714A3">
                            <w:pPr>
                              <w:jc w:val="center"/>
                              <w:rPr>
                                <w:sz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0;margin-top:4.4pt;width:466.55pt;height:115pt;z-index:2516992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X9luAIAALs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" filled="f" stroked="f">
                <v:textbox>
                  <w:txbxContent>
                    <w:p w:rsidR="00826CCF" w:rsidRDefault="00826CCF" w:rsidP="00667D6D">
                      <w:pPr>
                        <w:pStyle w:val="Titre4"/>
                        <w:numPr>
                          <w:ilvl w:val="0"/>
                          <w:numId w:val="0"/>
                        </w:numPr>
                        <w:spacing w:before="0" w:line="240" w:lineRule="auto"/>
                        <w:jc w:val="center"/>
                        <w:rPr>
                          <w:sz w:val="40"/>
                        </w:rPr>
                      </w:pPr>
                      <w:r w:rsidRPr="00345EDA">
                        <w:rPr>
                          <w:sz w:val="40"/>
                        </w:rPr>
                        <w:t>Mémoire de fin d’étude en vue de l’obtention du Diplôme de Master en Sciences Economiques</w:t>
                      </w:r>
                    </w:p>
                    <w:p w:rsidR="00826CCF" w:rsidRPr="000714A3" w:rsidRDefault="00826CCF" w:rsidP="00667D6D">
                      <w:pPr>
                        <w:pStyle w:val="Titre4"/>
                        <w:numPr>
                          <w:ilvl w:val="0"/>
                          <w:numId w:val="0"/>
                        </w:numPr>
                        <w:spacing w:before="0" w:line="240" w:lineRule="auto"/>
                        <w:jc w:val="center"/>
                        <w:rPr>
                          <w:b w:val="0"/>
                          <w:bCs w:val="0"/>
                          <w:i/>
                          <w:sz w:val="40"/>
                        </w:rPr>
                      </w:pPr>
                      <w:r w:rsidRPr="00345EDA">
                        <w:rPr>
                          <w:sz w:val="40"/>
                        </w:rPr>
                        <w:t xml:space="preserve">Option : </w:t>
                      </w:r>
                      <w:r>
                        <w:rPr>
                          <w:sz w:val="40"/>
                        </w:rPr>
                        <w:t>Monnaie, Finance et</w:t>
                      </w:r>
                      <w:r w:rsidRPr="00345EDA">
                        <w:rPr>
                          <w:sz w:val="40"/>
                        </w:rPr>
                        <w:t xml:space="preserve"> Banque</w:t>
                      </w:r>
                    </w:p>
                    <w:p w:rsidR="00826CCF" w:rsidRPr="00345EDA" w:rsidRDefault="00826CCF" w:rsidP="000714A3">
                      <w:pPr>
                        <w:jc w:val="center"/>
                        <w:rPr>
                          <w:sz w:val="32"/>
                        </w:rPr>
                      </w:pPr>
                    </w:p>
                  </w:txbxContent>
                </v:textbox>
                <w10:wrap anchorx="margin"/>
              </v:shape>
            </w:pict>
          </mc:Fallback>
        </mc:AlternateContent>
      </w:r>
    </w:p>
    <w:p w:rsidR="000714A3" w:rsidRPr="00155AF3" w:rsidRDefault="000714A3" w:rsidP="000714A3">
      <w:pPr>
        <w:ind w:firstLine="0"/>
        <w:rPr>
          <w:szCs w:val="24"/>
        </w:rPr>
      </w:pPr>
    </w:p>
    <w:p w:rsidR="000714A3" w:rsidRPr="00155AF3" w:rsidRDefault="000714A3" w:rsidP="000714A3">
      <w:pPr>
        <w:ind w:firstLine="0"/>
        <w:rPr>
          <w:szCs w:val="24"/>
        </w:rPr>
      </w:pPr>
    </w:p>
    <w:p w:rsidR="000714A3" w:rsidRPr="0064176A" w:rsidRDefault="000714A3" w:rsidP="000714A3">
      <w:pPr>
        <w:ind w:firstLine="0"/>
      </w:pPr>
    </w:p>
    <w:p w:rsidR="000714A3" w:rsidRPr="00AB42C3" w:rsidRDefault="000714A3" w:rsidP="000714A3">
      <w:pPr>
        <w:ind w:firstLine="0"/>
        <w:jc w:val="center"/>
        <w:rPr>
          <w:rFonts w:ascii="Elephant" w:hAnsi="Elephant"/>
          <w:b/>
          <w:i/>
          <w:sz w:val="36"/>
          <w:szCs w:val="36"/>
          <w:u w:val="single"/>
        </w:rPr>
      </w:pPr>
      <w:r w:rsidRPr="00AB42C3">
        <w:rPr>
          <w:rFonts w:ascii="Elephant" w:hAnsi="Elephant"/>
          <w:b/>
          <w:i/>
          <w:sz w:val="40"/>
        </w:rPr>
        <w:t>Thème</w:t>
      </w:r>
    </w:p>
    <w:p w:rsidR="000714A3" w:rsidRDefault="00CC0573" w:rsidP="000714A3">
      <w:pPr>
        <w:ind w:firstLine="0"/>
        <w:rPr>
          <w:rFonts w:ascii="Century Gothic" w:hAnsi="Century Gothic"/>
          <w:sz w:val="28"/>
          <w:szCs w:val="28"/>
        </w:rPr>
      </w:pPr>
      <w:r>
        <w:rPr>
          <w:noProof/>
        </w:rPr>
        <mc:AlternateContent>
          <mc:Choice Requires="wps">
            <w:drawing>
              <wp:anchor distT="0" distB="0" distL="114300" distR="114300" simplePos="0" relativeHeight="251700224" behindDoc="0" locked="0" layoutInCell="1" allowOverlap="1" wp14:anchorId="083CA850" wp14:editId="1A11C8BA">
                <wp:simplePos x="0" y="0"/>
                <wp:positionH relativeFrom="column">
                  <wp:posOffset>56515</wp:posOffset>
                </wp:positionH>
                <wp:positionV relativeFrom="paragraph">
                  <wp:posOffset>186055</wp:posOffset>
                </wp:positionV>
                <wp:extent cx="5901055" cy="1536700"/>
                <wp:effectExtent l="19050" t="19050" r="42545" b="44450"/>
                <wp:wrapNone/>
                <wp:docPr id="70"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1055" cy="1536700"/>
                        </a:xfrm>
                        <a:prstGeom prst="roundRect">
                          <a:avLst>
                            <a:gd name="adj" fmla="val 16667"/>
                          </a:avLst>
                        </a:prstGeom>
                        <a:noFill/>
                        <a:ln w="57150" cmpd="thickThin">
                          <a:solidFill>
                            <a:srgbClr val="000000"/>
                          </a:solidFill>
                          <a:round/>
                          <a:headEnd/>
                          <a:tailEnd/>
                        </a:ln>
                        <a:extLst>
                          <a:ext uri="{909E8E84-426E-40DD-AFC4-6F175D3DCCD1}">
                            <a14:hiddenFill xmlns:a14="http://schemas.microsoft.com/office/drawing/2010/main">
                              <a:solidFill>
                                <a:srgbClr val="FF0000"/>
                              </a:solidFill>
                            </a14:hiddenFill>
                          </a:ext>
                        </a:extLst>
                      </wps:spPr>
                      <wps:txbx>
                        <w:txbxContent>
                          <w:p w:rsidR="00826CCF" w:rsidRPr="00345EDA" w:rsidRDefault="00826CCF" w:rsidP="00301F1F">
                            <w:pPr>
                              <w:spacing w:before="240"/>
                              <w:ind w:firstLine="0"/>
                              <w:jc w:val="center"/>
                              <w:rPr>
                                <w:b/>
                                <w:sz w:val="52"/>
                                <w:szCs w:val="44"/>
                                <w:lang w:eastAsia="zh-CN"/>
                              </w:rPr>
                            </w:pPr>
                            <w:r>
                              <w:rPr>
                                <w:b/>
                                <w:sz w:val="52"/>
                                <w:szCs w:val="44"/>
                                <w:lang w:eastAsia="zh-CN"/>
                              </w:rPr>
                              <w:t>La surliquidité bancaire en Algérie : Ses principaux facteurs et sa gestion.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27" style="position:absolute;left:0;text-align:left;margin-left:4.45pt;margin-top:14.65pt;width:464.65pt;height:12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" filled="f" fillcolor="red" strokeweight="4.5pt">
                <v:stroke linestyle="thickThin"/>
                <v:textbox>
                  <w:txbxContent>
                    <w:p w:rsidR="00826CCF" w:rsidRPr="00345EDA" w:rsidRDefault="00826CCF" w:rsidP="00301F1F">
                      <w:pPr>
                        <w:spacing w:before="240"/>
                        <w:ind w:firstLine="0"/>
                        <w:jc w:val="center"/>
                        <w:rPr>
                          <w:b/>
                          <w:sz w:val="52"/>
                          <w:szCs w:val="44"/>
                          <w:lang w:eastAsia="zh-CN"/>
                        </w:rPr>
                      </w:pPr>
                      <w:r>
                        <w:rPr>
                          <w:b/>
                          <w:sz w:val="52"/>
                          <w:szCs w:val="44"/>
                          <w:lang w:eastAsia="zh-CN"/>
                        </w:rPr>
                        <w:t>La surliquidité bancaire en Algérie : Ses principaux facteurs et sa gestion.</w:t>
                      </w:r>
                    </w:p>
                  </w:txbxContent>
                </v:textbox>
              </v:roundrect>
            </w:pict>
          </mc:Fallback>
        </mc:AlternateContent>
      </w:r>
    </w:p>
    <w:p w:rsidR="000714A3" w:rsidRDefault="000714A3" w:rsidP="000714A3">
      <w:pPr>
        <w:ind w:firstLine="0"/>
        <w:rPr>
          <w:rFonts w:ascii="Century Gothic" w:hAnsi="Century Gothic"/>
          <w:sz w:val="28"/>
          <w:szCs w:val="28"/>
        </w:rPr>
      </w:pPr>
    </w:p>
    <w:p w:rsidR="000714A3" w:rsidRDefault="000714A3" w:rsidP="000714A3">
      <w:pPr>
        <w:ind w:firstLine="0"/>
        <w:rPr>
          <w:rFonts w:ascii="Century Gothic" w:hAnsi="Century Gothic"/>
          <w:sz w:val="28"/>
          <w:szCs w:val="28"/>
        </w:rPr>
      </w:pPr>
    </w:p>
    <w:p w:rsidR="000714A3" w:rsidRDefault="000714A3" w:rsidP="000714A3">
      <w:pPr>
        <w:ind w:firstLine="0"/>
        <w:rPr>
          <w:rFonts w:ascii="Century Gothic" w:hAnsi="Century Gothic"/>
          <w:sz w:val="28"/>
          <w:szCs w:val="28"/>
        </w:rPr>
      </w:pPr>
    </w:p>
    <w:p w:rsidR="000714A3" w:rsidRDefault="00CC0573" w:rsidP="000714A3">
      <w:pPr>
        <w:ind w:firstLine="0"/>
        <w:rPr>
          <w:rFonts w:ascii="Century Gothic" w:hAnsi="Century Gothic"/>
          <w:sz w:val="28"/>
          <w:szCs w:val="28"/>
        </w:rPr>
      </w:pPr>
      <w:r>
        <w:rPr>
          <w:rFonts w:ascii="Century Gothic" w:hAnsi="Century Gothic"/>
          <w:noProof/>
          <w:sz w:val="28"/>
          <w:szCs w:val="28"/>
        </w:rPr>
        <mc:AlternateContent>
          <mc:Choice Requires="wps">
            <w:drawing>
              <wp:anchor distT="0" distB="0" distL="114300" distR="114300" simplePos="0" relativeHeight="251705344" behindDoc="0" locked="0" layoutInCell="1" allowOverlap="1" wp14:anchorId="374E3BDF" wp14:editId="4F5BAB9C">
                <wp:simplePos x="0" y="0"/>
                <wp:positionH relativeFrom="column">
                  <wp:posOffset>3909060</wp:posOffset>
                </wp:positionH>
                <wp:positionV relativeFrom="paragraph">
                  <wp:posOffset>242570</wp:posOffset>
                </wp:positionV>
                <wp:extent cx="2243455" cy="1080135"/>
                <wp:effectExtent l="0" t="0" r="23495" b="24765"/>
                <wp:wrapNone/>
                <wp:docPr id="4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3455" cy="1080135"/>
                        </a:xfrm>
                        <a:prstGeom prst="rect">
                          <a:avLst/>
                        </a:prstGeom>
                        <a:solidFill>
                          <a:srgbClr val="FFFFFF"/>
                        </a:solidFill>
                        <a:ln w="9525">
                          <a:solidFill>
                            <a:schemeClr val="bg1">
                              <a:lumMod val="100000"/>
                              <a:lumOff val="0"/>
                            </a:schemeClr>
                          </a:solidFill>
                          <a:miter lim="800000"/>
                          <a:headEnd/>
                          <a:tailEnd/>
                        </a:ln>
                      </wps:spPr>
                      <wps:txbx>
                        <w:txbxContent>
                          <w:p w:rsidR="00826CCF" w:rsidRPr="00B43EB6" w:rsidRDefault="00826CCF" w:rsidP="000714A3">
                            <w:pPr>
                              <w:ind w:firstLine="0"/>
                              <w:rPr>
                                <w:b/>
                              </w:rPr>
                            </w:pPr>
                            <w:r w:rsidRPr="00B43EB6">
                              <w:rPr>
                                <w:b/>
                              </w:rPr>
                              <w:t xml:space="preserve">Réalisé par : </w:t>
                            </w:r>
                          </w:p>
                          <w:p w:rsidR="00826CCF" w:rsidRDefault="00826CCF" w:rsidP="000714A3">
                            <w:pPr>
                              <w:ind w:firstLine="0"/>
                            </w:pPr>
                            <w:r>
                              <w:t>M</w:t>
                            </w:r>
                            <w:r>
                              <w:rPr>
                                <w:vertAlign w:val="superscript"/>
                              </w:rPr>
                              <w:t xml:space="preserve">elle </w:t>
                            </w:r>
                            <w:r>
                              <w:t>ABANE Kahina</w:t>
                            </w:r>
                          </w:p>
                          <w:p w:rsidR="00826CCF" w:rsidRPr="00B43EB6" w:rsidRDefault="00826CCF" w:rsidP="000714A3">
                            <w:pPr>
                              <w:ind w:firstLine="0"/>
                            </w:pPr>
                            <w:r>
                              <w:t>M</w:t>
                            </w:r>
                            <w:r w:rsidRPr="000D1414">
                              <w:rPr>
                                <w:vertAlign w:val="superscript"/>
                              </w:rPr>
                              <w:t>elle</w:t>
                            </w:r>
                            <w:r>
                              <w:t xml:space="preserve"> AIT ABDELLAH </w:t>
                            </w:r>
                            <w:proofErr w:type="spellStart"/>
                            <w:r>
                              <w:t>Djedjiga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left:0;text-align:left;margin-left:307.8pt;margin-top:19.1pt;width:176.65pt;height:85.0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" strokecolor="white [3212]">
                <v:textbox>
                  <w:txbxContent>
                    <w:p w:rsidR="00826CCF" w:rsidRPr="00B43EB6" w:rsidRDefault="00826CCF" w:rsidP="000714A3">
                      <w:pPr>
                        <w:ind w:firstLine="0"/>
                        <w:rPr>
                          <w:b/>
                        </w:rPr>
                      </w:pPr>
                      <w:r w:rsidRPr="00B43EB6">
                        <w:rPr>
                          <w:b/>
                        </w:rPr>
                        <w:t xml:space="preserve">Réalisé par : </w:t>
                      </w:r>
                    </w:p>
                    <w:p w:rsidR="00826CCF" w:rsidRDefault="00826CCF" w:rsidP="000714A3">
                      <w:pPr>
                        <w:ind w:firstLine="0"/>
                      </w:pPr>
                      <w:r>
                        <w:t>M</w:t>
                      </w:r>
                      <w:r>
                        <w:rPr>
                          <w:vertAlign w:val="superscript"/>
                        </w:rPr>
                        <w:t xml:space="preserve">elle </w:t>
                      </w:r>
                      <w:r>
                        <w:t>ABANE Kahina</w:t>
                      </w:r>
                    </w:p>
                    <w:p w:rsidR="00826CCF" w:rsidRPr="00B43EB6" w:rsidRDefault="00826CCF" w:rsidP="000714A3">
                      <w:pPr>
                        <w:ind w:firstLine="0"/>
                      </w:pPr>
                      <w:r>
                        <w:t>M</w:t>
                      </w:r>
                      <w:r w:rsidRPr="000D1414">
                        <w:rPr>
                          <w:vertAlign w:val="superscript"/>
                        </w:rPr>
                        <w:t>elle</w:t>
                      </w:r>
                      <w:r>
                        <w:t xml:space="preserve"> AIT ABDELLAH </w:t>
                      </w:r>
                      <w:proofErr w:type="spellStart"/>
                      <w:r>
                        <w:t>Djedjiga</w:t>
                      </w:r>
                      <w:proofErr w:type="spellEnd"/>
                    </w:p>
                  </w:txbxContent>
                </v:textbox>
              </v:shape>
            </w:pict>
          </mc:Fallback>
        </mc:AlternateContent>
      </w:r>
      <w:r>
        <w:rPr>
          <w:rFonts w:ascii="Century Gothic" w:hAnsi="Century Gothic"/>
          <w:noProof/>
          <w:sz w:val="28"/>
          <w:szCs w:val="28"/>
        </w:rPr>
        <mc:AlternateContent>
          <mc:Choice Requires="wps">
            <w:drawing>
              <wp:anchor distT="0" distB="0" distL="114300" distR="114300" simplePos="0" relativeHeight="251706368" behindDoc="0" locked="0" layoutInCell="1" allowOverlap="1" wp14:anchorId="0AD35219" wp14:editId="68013510">
                <wp:simplePos x="0" y="0"/>
                <wp:positionH relativeFrom="column">
                  <wp:posOffset>-128270</wp:posOffset>
                </wp:positionH>
                <wp:positionV relativeFrom="paragraph">
                  <wp:posOffset>332105</wp:posOffset>
                </wp:positionV>
                <wp:extent cx="2594610" cy="617855"/>
                <wp:effectExtent l="0" t="0" r="15240" b="10795"/>
                <wp:wrapNone/>
                <wp:docPr id="7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4610" cy="617855"/>
                        </a:xfrm>
                        <a:prstGeom prst="rect">
                          <a:avLst/>
                        </a:prstGeom>
                        <a:solidFill>
                          <a:srgbClr val="FFFFFF"/>
                        </a:solidFill>
                        <a:ln w="9525">
                          <a:solidFill>
                            <a:schemeClr val="bg1">
                              <a:lumMod val="100000"/>
                              <a:lumOff val="0"/>
                            </a:schemeClr>
                          </a:solidFill>
                          <a:miter lim="800000"/>
                          <a:headEnd/>
                          <a:tailEnd/>
                        </a:ln>
                      </wps:spPr>
                      <wps:txbx>
                        <w:txbxContent>
                          <w:p w:rsidR="00826CCF" w:rsidRPr="00B43EB6" w:rsidRDefault="00826CCF" w:rsidP="000714A3">
                            <w:pPr>
                              <w:spacing w:after="0" w:line="240" w:lineRule="auto"/>
                              <w:rPr>
                                <w:b/>
                              </w:rPr>
                            </w:pPr>
                            <w:r>
                              <w:rPr>
                                <w:b/>
                              </w:rPr>
                              <w:t>Encadré</w:t>
                            </w:r>
                            <w:r w:rsidRPr="00B43EB6">
                              <w:rPr>
                                <w:b/>
                              </w:rPr>
                              <w:t xml:space="preserve"> par : </w:t>
                            </w:r>
                          </w:p>
                          <w:p w:rsidR="00826CCF" w:rsidRPr="00B43EB6" w:rsidRDefault="00826CCF" w:rsidP="00301F1F">
                            <w:pPr>
                              <w:spacing w:after="0" w:line="240" w:lineRule="auto"/>
                            </w:pPr>
                            <w:r>
                              <w:t>Mr  Kamel MOULAI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9" type="#_x0000_t202" style="position:absolute;left:0;text-align:left;margin-left:-10.1pt;margin-top:26.15pt;width:204.3pt;height:48.6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" strokecolor="white [3212]">
                <v:textbox>
                  <w:txbxContent>
                    <w:p w:rsidR="00826CCF" w:rsidRPr="00B43EB6" w:rsidRDefault="00826CCF" w:rsidP="000714A3">
                      <w:pPr>
                        <w:spacing w:after="0" w:line="240" w:lineRule="auto"/>
                        <w:rPr>
                          <w:b/>
                        </w:rPr>
                      </w:pPr>
                      <w:r>
                        <w:rPr>
                          <w:b/>
                        </w:rPr>
                        <w:t>Encadré</w:t>
                      </w:r>
                      <w:r w:rsidRPr="00B43EB6">
                        <w:rPr>
                          <w:b/>
                        </w:rPr>
                        <w:t xml:space="preserve"> par : </w:t>
                      </w:r>
                    </w:p>
                    <w:p w:rsidR="00826CCF" w:rsidRPr="00B43EB6" w:rsidRDefault="00826CCF" w:rsidP="00301F1F">
                      <w:pPr>
                        <w:spacing w:after="0" w:line="240" w:lineRule="auto"/>
                      </w:pPr>
                      <w:r>
                        <w:t>Mr  Kamel MOULAI</w:t>
                      </w:r>
                    </w:p>
                  </w:txbxContent>
                </v:textbox>
              </v:shape>
            </w:pict>
          </mc:Fallback>
        </mc:AlternateContent>
      </w:r>
    </w:p>
    <w:p w:rsidR="000714A3" w:rsidRDefault="000714A3" w:rsidP="000714A3">
      <w:pPr>
        <w:ind w:firstLine="0"/>
        <w:rPr>
          <w:rFonts w:ascii="Century Gothic" w:hAnsi="Century Gothic"/>
          <w:sz w:val="28"/>
          <w:szCs w:val="28"/>
        </w:rPr>
      </w:pPr>
    </w:p>
    <w:p w:rsidR="000714A3" w:rsidRDefault="00CC0573" w:rsidP="000714A3">
      <w:pPr>
        <w:ind w:firstLine="0"/>
      </w:pPr>
      <w:r>
        <w:rPr>
          <w:noProof/>
        </w:rPr>
        <mc:AlternateContent>
          <mc:Choice Requires="wps">
            <w:drawing>
              <wp:anchor distT="0" distB="0" distL="114300" distR="114300" simplePos="0" relativeHeight="251704320" behindDoc="0" locked="0" layoutInCell="1" allowOverlap="1" wp14:anchorId="115D988F" wp14:editId="4EB24F16">
                <wp:simplePos x="0" y="0"/>
                <wp:positionH relativeFrom="column">
                  <wp:posOffset>-81280</wp:posOffset>
                </wp:positionH>
                <wp:positionV relativeFrom="paragraph">
                  <wp:posOffset>143510</wp:posOffset>
                </wp:positionV>
                <wp:extent cx="4058920" cy="1282700"/>
                <wp:effectExtent l="0" t="0" r="17780" b="12700"/>
                <wp:wrapNone/>
                <wp:docPr id="7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8920" cy="1282700"/>
                        </a:xfrm>
                        <a:prstGeom prst="rect">
                          <a:avLst/>
                        </a:prstGeom>
                        <a:solidFill>
                          <a:srgbClr val="FFFFFF"/>
                        </a:solidFill>
                        <a:ln w="9525">
                          <a:solidFill>
                            <a:schemeClr val="bg1">
                              <a:lumMod val="100000"/>
                              <a:lumOff val="0"/>
                            </a:schemeClr>
                          </a:solidFill>
                          <a:miter lim="800000"/>
                          <a:headEnd/>
                          <a:tailEnd/>
                        </a:ln>
                      </wps:spPr>
                      <wps:txbx>
                        <w:txbxContent>
                          <w:p w:rsidR="00826CCF" w:rsidRPr="005A5038" w:rsidRDefault="00826CCF" w:rsidP="00667D6D">
                            <w:pPr>
                              <w:spacing w:line="240" w:lineRule="auto"/>
                              <w:rPr>
                                <w:b/>
                              </w:rPr>
                            </w:pPr>
                            <w:r w:rsidRPr="005A5038">
                              <w:rPr>
                                <w:b/>
                              </w:rPr>
                              <w:t>Jury composé de :</w:t>
                            </w:r>
                          </w:p>
                          <w:p w:rsidR="00826CCF" w:rsidRDefault="00826CCF" w:rsidP="00D95740">
                            <w:pPr>
                              <w:pStyle w:val="Paragraphedeliste"/>
                              <w:numPr>
                                <w:ilvl w:val="0"/>
                                <w:numId w:val="33"/>
                              </w:numPr>
                              <w:spacing w:line="240" w:lineRule="auto"/>
                            </w:pPr>
                            <w:r w:rsidRPr="005F4C03">
                              <w:rPr>
                                <w:b/>
                              </w:rPr>
                              <w:t>Président</w:t>
                            </w:r>
                            <w:r>
                              <w:rPr>
                                <w:b/>
                              </w:rPr>
                              <w:t>e</w:t>
                            </w:r>
                            <w:r w:rsidRPr="005F4C03">
                              <w:rPr>
                                <w:b/>
                              </w:rPr>
                              <w:t xml:space="preserve"> de jury</w:t>
                            </w:r>
                            <w:r>
                              <w:t xml:space="preserve"> : Mme IGUERGAZIZ </w:t>
                            </w:r>
                            <w:proofErr w:type="spellStart"/>
                            <w:r>
                              <w:t>Wassila</w:t>
                            </w:r>
                            <w:proofErr w:type="spellEnd"/>
                          </w:p>
                          <w:p w:rsidR="00826CCF" w:rsidRPr="00173F52" w:rsidRDefault="00826CCF" w:rsidP="00D95740">
                            <w:pPr>
                              <w:pStyle w:val="Paragraphedeliste"/>
                              <w:numPr>
                                <w:ilvl w:val="0"/>
                                <w:numId w:val="33"/>
                              </w:numPr>
                              <w:spacing w:line="240" w:lineRule="auto"/>
                            </w:pPr>
                            <w:r w:rsidRPr="005F4C03">
                              <w:rPr>
                                <w:b/>
                              </w:rPr>
                              <w:t>Examinateur :</w:t>
                            </w:r>
                            <w:r>
                              <w:rPr>
                                <w:b/>
                              </w:rPr>
                              <w:t xml:space="preserve"> </w:t>
                            </w:r>
                            <w:r>
                              <w:rPr>
                                <w:bCs/>
                              </w:rPr>
                              <w:t>Mr MOUSSAOUI</w:t>
                            </w:r>
                          </w:p>
                          <w:p w:rsidR="00826CCF" w:rsidRDefault="00826CCF" w:rsidP="00D95740">
                            <w:pPr>
                              <w:pStyle w:val="Paragraphedeliste"/>
                              <w:numPr>
                                <w:ilvl w:val="0"/>
                                <w:numId w:val="33"/>
                              </w:numPr>
                              <w:spacing w:line="240" w:lineRule="auto"/>
                            </w:pPr>
                            <w:r>
                              <w:rPr>
                                <w:b/>
                              </w:rPr>
                              <w:t xml:space="preserve">Rapporteur : </w:t>
                            </w:r>
                            <w:r w:rsidRPr="00D71BD5">
                              <w:rPr>
                                <w:bCs/>
                              </w:rPr>
                              <w:t>Mr MOULAI Kamel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0" type="#_x0000_t202" style="position:absolute;left:0;text-align:left;margin-left:-6.4pt;margin-top:11.3pt;width:319.6pt;height:101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" strokecolor="white [3212]">
                <v:textbox>
                  <w:txbxContent>
                    <w:p w:rsidR="00826CCF" w:rsidRPr="005A5038" w:rsidRDefault="00826CCF" w:rsidP="00667D6D">
                      <w:pPr>
                        <w:spacing w:line="240" w:lineRule="auto"/>
                        <w:rPr>
                          <w:b/>
                        </w:rPr>
                      </w:pPr>
                      <w:r w:rsidRPr="005A5038">
                        <w:rPr>
                          <w:b/>
                        </w:rPr>
                        <w:t>Jury composé de :</w:t>
                      </w:r>
                    </w:p>
                    <w:p w:rsidR="00826CCF" w:rsidRDefault="00826CCF" w:rsidP="00D95740">
                      <w:pPr>
                        <w:pStyle w:val="Paragraphedeliste"/>
                        <w:numPr>
                          <w:ilvl w:val="0"/>
                          <w:numId w:val="33"/>
                        </w:numPr>
                        <w:spacing w:line="240" w:lineRule="auto"/>
                      </w:pPr>
                      <w:r w:rsidRPr="005F4C03">
                        <w:rPr>
                          <w:b/>
                        </w:rPr>
                        <w:t>Président</w:t>
                      </w:r>
                      <w:r>
                        <w:rPr>
                          <w:b/>
                        </w:rPr>
                        <w:t>e</w:t>
                      </w:r>
                      <w:r w:rsidRPr="005F4C03">
                        <w:rPr>
                          <w:b/>
                        </w:rPr>
                        <w:t xml:space="preserve"> de jury</w:t>
                      </w:r>
                      <w:r>
                        <w:t xml:space="preserve"> : Mme IGUERGAZIZ </w:t>
                      </w:r>
                      <w:proofErr w:type="spellStart"/>
                      <w:r>
                        <w:t>Wassila</w:t>
                      </w:r>
                      <w:proofErr w:type="spellEnd"/>
                    </w:p>
                    <w:p w:rsidR="00826CCF" w:rsidRPr="00173F52" w:rsidRDefault="00826CCF" w:rsidP="00D95740">
                      <w:pPr>
                        <w:pStyle w:val="Paragraphedeliste"/>
                        <w:numPr>
                          <w:ilvl w:val="0"/>
                          <w:numId w:val="33"/>
                        </w:numPr>
                        <w:spacing w:line="240" w:lineRule="auto"/>
                      </w:pPr>
                      <w:r w:rsidRPr="005F4C03">
                        <w:rPr>
                          <w:b/>
                        </w:rPr>
                        <w:t>Examinateur :</w:t>
                      </w:r>
                      <w:r>
                        <w:rPr>
                          <w:b/>
                        </w:rPr>
                        <w:t xml:space="preserve"> </w:t>
                      </w:r>
                      <w:r>
                        <w:rPr>
                          <w:bCs/>
                        </w:rPr>
                        <w:t>Mr MOUSSAOUI</w:t>
                      </w:r>
                    </w:p>
                    <w:p w:rsidR="00826CCF" w:rsidRDefault="00826CCF" w:rsidP="00D95740">
                      <w:pPr>
                        <w:pStyle w:val="Paragraphedeliste"/>
                        <w:numPr>
                          <w:ilvl w:val="0"/>
                          <w:numId w:val="33"/>
                        </w:numPr>
                        <w:spacing w:line="240" w:lineRule="auto"/>
                      </w:pPr>
                      <w:r>
                        <w:rPr>
                          <w:b/>
                        </w:rPr>
                        <w:t xml:space="preserve">Rapporteur : </w:t>
                      </w:r>
                      <w:r w:rsidRPr="00D71BD5">
                        <w:rPr>
                          <w:bCs/>
                        </w:rPr>
                        <w:t>Mr MOULAI Kamel</w:t>
                      </w:r>
                    </w:p>
                  </w:txbxContent>
                </v:textbox>
              </v:shape>
            </w:pict>
          </mc:Fallback>
        </mc:AlternateContent>
      </w:r>
    </w:p>
    <w:p w:rsidR="000714A3" w:rsidRDefault="000714A3" w:rsidP="000714A3">
      <w:pPr>
        <w:ind w:firstLine="0"/>
      </w:pPr>
    </w:p>
    <w:p w:rsidR="000714A3" w:rsidRDefault="000714A3" w:rsidP="000714A3">
      <w:pPr>
        <w:ind w:firstLine="0"/>
      </w:pPr>
    </w:p>
    <w:p w:rsidR="000714A3" w:rsidRDefault="000714A3" w:rsidP="000714A3">
      <w:pPr>
        <w:ind w:firstLine="0"/>
      </w:pPr>
    </w:p>
    <w:p w:rsidR="00667D6D" w:rsidRDefault="00CC0573" w:rsidP="004832BA">
      <w:pPr>
        <w:ind w:firstLine="0"/>
        <w:jc w:val="right"/>
        <w:sectPr w:rsidR="00667D6D" w:rsidSect="00155AF3">
          <w:headerReference w:type="default" r:id="rId11"/>
          <w:footerReference w:type="default" r:id="rId12"/>
          <w:pgSz w:w="11906" w:h="16838"/>
          <w:pgMar w:top="568" w:right="1418" w:bottom="1418" w:left="1418" w:header="709" w:footer="709" w:gutter="0"/>
          <w:pgBorders w:offsetFrom="page">
            <w:top w:val="triple" w:sz="4" w:space="24" w:color="auto"/>
            <w:left w:val="triple" w:sz="4" w:space="24" w:color="auto"/>
            <w:bottom w:val="triple" w:sz="4" w:space="24" w:color="auto"/>
            <w:right w:val="triple" w:sz="4" w:space="24" w:color="auto"/>
          </w:pgBorders>
          <w:cols w:space="708"/>
          <w:docGrid w:linePitch="360"/>
        </w:sectPr>
      </w:pPr>
      <w:r>
        <w:rPr>
          <w:noProof/>
        </w:rPr>
        <mc:AlternateContent>
          <mc:Choice Requires="wps">
            <w:drawing>
              <wp:anchor distT="0" distB="0" distL="114300" distR="114300" simplePos="0" relativeHeight="251716608" behindDoc="0" locked="0" layoutInCell="1" allowOverlap="1" wp14:anchorId="2990CE1E" wp14:editId="3340278C">
                <wp:simplePos x="0" y="0"/>
                <wp:positionH relativeFrom="column">
                  <wp:posOffset>1380490</wp:posOffset>
                </wp:positionH>
                <wp:positionV relativeFrom="paragraph">
                  <wp:posOffset>692150</wp:posOffset>
                </wp:positionV>
                <wp:extent cx="2999740" cy="380365"/>
                <wp:effectExtent l="0" t="0" r="0" b="635"/>
                <wp:wrapNone/>
                <wp:docPr id="40" name="Zone de texte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99740" cy="38036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26CCF" w:rsidRPr="00325B2E" w:rsidRDefault="00826CCF" w:rsidP="00325B2E">
                            <w:pPr>
                              <w:jc w:val="center"/>
                              <w:rPr>
                                <w:b/>
                                <w:bCs/>
                                <w:sz w:val="28"/>
                                <w:szCs w:val="24"/>
                              </w:rPr>
                            </w:pPr>
                            <w:r w:rsidRPr="00325B2E">
                              <w:rPr>
                                <w:b/>
                                <w:bCs/>
                                <w:sz w:val="28"/>
                                <w:szCs w:val="24"/>
                              </w:rPr>
                              <w:t>Année universitaire : 2014/2015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Zone de texte 35" o:spid="_x0000_s1031" type="#_x0000_t202" style="position:absolute;left:0;text-align:left;margin-left:108.7pt;margin-top:54.5pt;width:236.2pt;height:29.9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" fillcolor="white [3201]" stroked="f" strokeweight=".5pt">
                <v:path arrowok="t"/>
                <v:textbox>
                  <w:txbxContent>
                    <w:p w:rsidR="00826CCF" w:rsidRPr="00325B2E" w:rsidRDefault="00826CCF" w:rsidP="00325B2E">
                      <w:pPr>
                        <w:jc w:val="center"/>
                        <w:rPr>
                          <w:b/>
                          <w:bCs/>
                          <w:sz w:val="28"/>
                          <w:szCs w:val="24"/>
                        </w:rPr>
                      </w:pPr>
                      <w:r w:rsidRPr="00325B2E">
                        <w:rPr>
                          <w:b/>
                          <w:bCs/>
                          <w:sz w:val="28"/>
                          <w:szCs w:val="24"/>
                        </w:rPr>
                        <w:t>Année universitaire : 2014/2015</w:t>
                      </w:r>
                    </w:p>
                  </w:txbxContent>
                </v:textbox>
              </v:shape>
            </w:pict>
          </mc:Fallback>
        </mc:AlternateContent>
      </w:r>
    </w:p>
    <w:p w:rsidR="00393086" w:rsidRDefault="00826CCF" w:rsidP="00393086">
      <w:pPr>
        <w:jc w:val="center"/>
      </w:pPr>
      <w:r>
        <w:rPr>
          <w:rFonts w:ascii="Monotype Corsiva" w:hAnsi="Monotype Corsiva" w:cstheme="majorBidi"/>
        </w:rPr>
        <w:lastRenderedPageBreak/>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25" type="#_x0000_t175" style="width:273.45pt;height:46.1pt" adj="7200" fillcolor="black">
            <v:shadow color="#868686"/>
            <v:textpath style="font-family:&quot;Plantagenet Cherokee&quot;;v-text-kern:t" trim="t" fitpath="t" string="Remerciements "/>
          </v:shape>
        </w:pict>
      </w:r>
    </w:p>
    <w:p w:rsidR="00393086" w:rsidRPr="007863FC" w:rsidRDefault="00393086" w:rsidP="00393086"/>
    <w:p w:rsidR="00393086" w:rsidRDefault="00393086" w:rsidP="00393086"/>
    <w:p w:rsidR="00393086" w:rsidRDefault="00393086" w:rsidP="00393086">
      <w:pPr>
        <w:autoSpaceDE w:val="0"/>
        <w:autoSpaceDN w:val="0"/>
        <w:adjustRightInd w:val="0"/>
        <w:spacing w:after="0" w:line="240" w:lineRule="auto"/>
        <w:ind w:firstLine="708"/>
        <w:jc w:val="center"/>
        <w:rPr>
          <w:rFonts w:ascii="Monotype Corsiva" w:hAnsi="Monotype Corsiva" w:cs="MonotypeCorsiva,Italic"/>
          <w:i/>
          <w:iCs/>
          <w:sz w:val="32"/>
          <w:szCs w:val="32"/>
        </w:rPr>
      </w:pPr>
      <w:r w:rsidRPr="007863FC">
        <w:rPr>
          <w:rFonts w:ascii="Monotype Corsiva" w:hAnsi="Monotype Corsiva" w:cs="MonotypeCorsiva,Italic"/>
          <w:i/>
          <w:iCs/>
          <w:sz w:val="32"/>
          <w:szCs w:val="32"/>
        </w:rPr>
        <w:t xml:space="preserve">Avant tout, </w:t>
      </w:r>
      <w:r>
        <w:rPr>
          <w:rFonts w:ascii="Monotype Corsiva" w:hAnsi="Monotype Corsiva" w:cs="MonotypeCorsiva,Italic"/>
          <w:i/>
          <w:iCs/>
          <w:sz w:val="32"/>
          <w:szCs w:val="32"/>
        </w:rPr>
        <w:t>nous remercions</w:t>
      </w:r>
      <w:r w:rsidR="00984502">
        <w:rPr>
          <w:rFonts w:ascii="Monotype Corsiva" w:hAnsi="Monotype Corsiva" w:cs="MonotypeCorsiva,Italic"/>
          <w:i/>
          <w:iCs/>
          <w:sz w:val="32"/>
          <w:szCs w:val="32"/>
        </w:rPr>
        <w:t xml:space="preserve"> </w:t>
      </w:r>
      <w:r>
        <w:rPr>
          <w:rFonts w:ascii="Monotype Corsiva" w:hAnsi="Monotype Corsiva" w:cs="MonotypeCorsiva,Italic"/>
          <w:i/>
          <w:iCs/>
          <w:sz w:val="32"/>
          <w:szCs w:val="32"/>
        </w:rPr>
        <w:t>le bon Dieu tout puissant de nous avoir donné la force et le courage pour surmonter toutes les difficultés rencontrées durant toute l’année.</w:t>
      </w:r>
    </w:p>
    <w:p w:rsidR="00393086" w:rsidRDefault="00393086" w:rsidP="00393086">
      <w:pPr>
        <w:autoSpaceDE w:val="0"/>
        <w:autoSpaceDN w:val="0"/>
        <w:adjustRightInd w:val="0"/>
        <w:spacing w:after="0" w:line="240" w:lineRule="auto"/>
        <w:ind w:firstLine="708"/>
        <w:jc w:val="center"/>
        <w:rPr>
          <w:rFonts w:ascii="Monotype Corsiva" w:hAnsi="Monotype Corsiva" w:cs="MonotypeCorsiva,Italic"/>
          <w:i/>
          <w:iCs/>
          <w:sz w:val="32"/>
          <w:szCs w:val="32"/>
        </w:rPr>
      </w:pPr>
    </w:p>
    <w:p w:rsidR="00393086" w:rsidRDefault="00393086" w:rsidP="0025320D">
      <w:pPr>
        <w:autoSpaceDE w:val="0"/>
        <w:autoSpaceDN w:val="0"/>
        <w:adjustRightInd w:val="0"/>
        <w:spacing w:after="0" w:line="240" w:lineRule="auto"/>
        <w:ind w:firstLine="708"/>
        <w:jc w:val="center"/>
        <w:rPr>
          <w:rFonts w:ascii="Monotype Corsiva" w:hAnsi="Monotype Corsiva" w:cs="MonotypeCorsiva,Italic"/>
          <w:i/>
          <w:iCs/>
          <w:sz w:val="32"/>
          <w:szCs w:val="32"/>
        </w:rPr>
      </w:pPr>
      <w:r>
        <w:rPr>
          <w:rFonts w:ascii="Monotype Corsiva" w:hAnsi="Monotype Corsiva" w:cs="MonotypeCorsiva,Italic"/>
          <w:i/>
          <w:iCs/>
          <w:sz w:val="32"/>
          <w:szCs w:val="32"/>
        </w:rPr>
        <w:t>Nous tenons à  exprimer notre profonde r</w:t>
      </w:r>
      <w:r w:rsidR="004832BA">
        <w:rPr>
          <w:rFonts w:ascii="Monotype Corsiva" w:hAnsi="Monotype Corsiva" w:cs="MonotypeCorsiva,Italic"/>
          <w:i/>
          <w:iCs/>
          <w:sz w:val="32"/>
          <w:szCs w:val="32"/>
        </w:rPr>
        <w:t xml:space="preserve">econnaissance à Mr MOULAI Kamel, </w:t>
      </w:r>
      <w:r>
        <w:rPr>
          <w:rFonts w:ascii="Monotype Corsiva" w:hAnsi="Monotype Corsiva" w:cs="MonotypeCorsiva,Italic"/>
          <w:i/>
          <w:iCs/>
          <w:sz w:val="32"/>
          <w:szCs w:val="32"/>
        </w:rPr>
        <w:t>qui</w:t>
      </w:r>
      <w:r w:rsidR="005F1DED">
        <w:rPr>
          <w:rFonts w:ascii="Monotype Corsiva" w:hAnsi="Monotype Corsiva" w:cs="MonotypeCorsiva,Italic"/>
          <w:i/>
          <w:iCs/>
          <w:sz w:val="32"/>
          <w:szCs w:val="32"/>
        </w:rPr>
        <w:t>,</w:t>
      </w:r>
      <w:r>
        <w:rPr>
          <w:rFonts w:ascii="Monotype Corsiva" w:hAnsi="Monotype Corsiva" w:cs="MonotypeCorsiva,Italic"/>
          <w:i/>
          <w:iCs/>
          <w:sz w:val="32"/>
          <w:szCs w:val="32"/>
        </w:rPr>
        <w:t xml:space="preserve"> malgré ses nombreuses occupations</w:t>
      </w:r>
      <w:r w:rsidR="005F1DED">
        <w:rPr>
          <w:rFonts w:ascii="Monotype Corsiva" w:hAnsi="Monotype Corsiva" w:cs="MonotypeCorsiva,Italic"/>
          <w:i/>
          <w:iCs/>
          <w:sz w:val="32"/>
          <w:szCs w:val="32"/>
        </w:rPr>
        <w:t>,</w:t>
      </w:r>
      <w:r>
        <w:rPr>
          <w:rFonts w:ascii="Monotype Corsiva" w:hAnsi="Monotype Corsiva" w:cs="MonotypeCorsiva,Italic"/>
          <w:i/>
          <w:iCs/>
          <w:sz w:val="32"/>
          <w:szCs w:val="32"/>
        </w:rPr>
        <w:t xml:space="preserve"> a </w:t>
      </w:r>
      <w:r w:rsidR="005F1DED">
        <w:rPr>
          <w:rFonts w:ascii="Monotype Corsiva" w:hAnsi="Monotype Corsiva" w:cs="MonotypeCorsiva,Italic"/>
          <w:i/>
          <w:iCs/>
          <w:sz w:val="32"/>
          <w:szCs w:val="32"/>
        </w:rPr>
        <w:t>accepté</w:t>
      </w:r>
      <w:r w:rsidR="00984502">
        <w:rPr>
          <w:rFonts w:ascii="Monotype Corsiva" w:hAnsi="Monotype Corsiva" w:cs="MonotypeCorsiva,Italic"/>
          <w:i/>
          <w:iCs/>
          <w:sz w:val="32"/>
          <w:szCs w:val="32"/>
        </w:rPr>
        <w:t xml:space="preserve"> </w:t>
      </w:r>
      <w:r w:rsidR="005F1DED">
        <w:rPr>
          <w:rFonts w:ascii="Monotype Corsiva" w:hAnsi="Monotype Corsiva" w:cs="MonotypeCorsiva,Italic"/>
          <w:i/>
          <w:iCs/>
          <w:sz w:val="32"/>
          <w:szCs w:val="32"/>
        </w:rPr>
        <w:t>d’</w:t>
      </w:r>
      <w:r>
        <w:rPr>
          <w:rFonts w:ascii="Monotype Corsiva" w:hAnsi="Monotype Corsiva" w:cs="MonotypeCorsiva,Italic"/>
          <w:i/>
          <w:iCs/>
          <w:sz w:val="32"/>
          <w:szCs w:val="32"/>
        </w:rPr>
        <w:t>encadrer notre travail et nous faire bénéficier de son expérience av</w:t>
      </w:r>
      <w:r w:rsidR="0025320D">
        <w:rPr>
          <w:rFonts w:ascii="Monotype Corsiva" w:hAnsi="Monotype Corsiva" w:cs="MonotypeCorsiva,Italic"/>
          <w:i/>
          <w:iCs/>
          <w:sz w:val="32"/>
          <w:szCs w:val="32"/>
        </w:rPr>
        <w:t>ec ses conseils et orientations.</w:t>
      </w:r>
    </w:p>
    <w:p w:rsidR="00393086" w:rsidRDefault="00393086" w:rsidP="00393086">
      <w:pPr>
        <w:autoSpaceDE w:val="0"/>
        <w:autoSpaceDN w:val="0"/>
        <w:adjustRightInd w:val="0"/>
        <w:spacing w:after="0" w:line="240" w:lineRule="auto"/>
        <w:ind w:firstLine="708"/>
        <w:jc w:val="center"/>
        <w:rPr>
          <w:rFonts w:ascii="Monotype Corsiva" w:hAnsi="Monotype Corsiva" w:cs="MonotypeCorsiva,Italic"/>
          <w:i/>
          <w:iCs/>
          <w:sz w:val="32"/>
          <w:szCs w:val="32"/>
        </w:rPr>
      </w:pPr>
    </w:p>
    <w:p w:rsidR="00393086" w:rsidRDefault="00393086" w:rsidP="00393086">
      <w:pPr>
        <w:autoSpaceDE w:val="0"/>
        <w:autoSpaceDN w:val="0"/>
        <w:adjustRightInd w:val="0"/>
        <w:spacing w:after="0" w:line="240" w:lineRule="auto"/>
        <w:ind w:firstLine="708"/>
        <w:jc w:val="center"/>
        <w:rPr>
          <w:rFonts w:ascii="Monotype Corsiva" w:hAnsi="Monotype Corsiva" w:cs="MonotypeCorsiva,Italic"/>
          <w:i/>
          <w:iCs/>
          <w:sz w:val="32"/>
          <w:szCs w:val="32"/>
        </w:rPr>
      </w:pPr>
      <w:r>
        <w:rPr>
          <w:rFonts w:ascii="Monotype Corsiva" w:hAnsi="Monotype Corsiva" w:cs="MonotypeCorsiva,Italic"/>
          <w:i/>
          <w:iCs/>
          <w:sz w:val="32"/>
          <w:szCs w:val="32"/>
        </w:rPr>
        <w:t>Il serait ingrat de notre part d’oublier les professeurs ainsi que l’ensemble du personnel de la faculté des sciences économiques, de gestion et des sciences commerciales pour l’aide qu’ils nous ont apporté durant notre parcours universitaire.</w:t>
      </w:r>
    </w:p>
    <w:p w:rsidR="00393086" w:rsidRDefault="00393086" w:rsidP="00393086">
      <w:pPr>
        <w:autoSpaceDE w:val="0"/>
        <w:autoSpaceDN w:val="0"/>
        <w:adjustRightInd w:val="0"/>
        <w:spacing w:after="0" w:line="240" w:lineRule="auto"/>
        <w:ind w:firstLine="708"/>
        <w:jc w:val="center"/>
        <w:rPr>
          <w:rFonts w:ascii="Monotype Corsiva" w:hAnsi="Monotype Corsiva" w:cs="MonotypeCorsiva,Italic"/>
          <w:i/>
          <w:iCs/>
          <w:sz w:val="32"/>
          <w:szCs w:val="32"/>
        </w:rPr>
      </w:pPr>
    </w:p>
    <w:p w:rsidR="00393086" w:rsidRDefault="00393086" w:rsidP="00393086">
      <w:pPr>
        <w:autoSpaceDE w:val="0"/>
        <w:autoSpaceDN w:val="0"/>
        <w:adjustRightInd w:val="0"/>
        <w:spacing w:after="0" w:line="240" w:lineRule="auto"/>
        <w:ind w:firstLine="708"/>
        <w:jc w:val="center"/>
        <w:rPr>
          <w:rFonts w:ascii="Monotype Corsiva" w:hAnsi="Monotype Corsiva" w:cs="MonotypeCorsiva,Italic"/>
          <w:i/>
          <w:iCs/>
          <w:sz w:val="32"/>
          <w:szCs w:val="32"/>
        </w:rPr>
      </w:pPr>
      <w:r>
        <w:rPr>
          <w:rFonts w:ascii="Monotype Corsiva" w:hAnsi="Monotype Corsiva" w:cs="MonotypeCorsiva,Italic"/>
          <w:i/>
          <w:iCs/>
          <w:sz w:val="32"/>
          <w:szCs w:val="32"/>
        </w:rPr>
        <w:t>Son oubli</w:t>
      </w:r>
      <w:r w:rsidR="0025320D">
        <w:rPr>
          <w:rFonts w:ascii="Monotype Corsiva" w:hAnsi="Monotype Corsiva" w:cs="MonotypeCorsiva,Italic"/>
          <w:i/>
          <w:iCs/>
          <w:sz w:val="32"/>
          <w:szCs w:val="32"/>
        </w:rPr>
        <w:t>er toutes les personnes qui nous on</w:t>
      </w:r>
      <w:r>
        <w:rPr>
          <w:rFonts w:ascii="Monotype Corsiva" w:hAnsi="Monotype Corsiva" w:cs="MonotypeCorsiva,Italic"/>
          <w:i/>
          <w:iCs/>
          <w:sz w:val="32"/>
          <w:szCs w:val="32"/>
        </w:rPr>
        <w:t xml:space="preserve">t aidé, soutenu, encouragé durant la préparation de ce </w:t>
      </w:r>
      <w:r w:rsidRPr="00BE080A">
        <w:rPr>
          <w:rFonts w:ascii="Monotype Corsiva" w:hAnsi="Monotype Corsiva" w:cs="MonotypeCorsiva,Italic"/>
          <w:i/>
          <w:iCs/>
          <w:sz w:val="32"/>
          <w:szCs w:val="32"/>
        </w:rPr>
        <w:t xml:space="preserve">mémoire. </w:t>
      </w:r>
    </w:p>
    <w:p w:rsidR="00393086" w:rsidRDefault="00393086" w:rsidP="00393086">
      <w:pPr>
        <w:autoSpaceDE w:val="0"/>
        <w:autoSpaceDN w:val="0"/>
        <w:adjustRightInd w:val="0"/>
        <w:spacing w:after="0" w:line="240" w:lineRule="auto"/>
        <w:ind w:firstLine="708"/>
        <w:jc w:val="right"/>
        <w:rPr>
          <w:rFonts w:ascii="Monotype Corsiva" w:hAnsi="Monotype Corsiva" w:cs="MonotypeCorsiva,Italic"/>
          <w:i/>
          <w:iCs/>
          <w:sz w:val="32"/>
          <w:szCs w:val="32"/>
        </w:rPr>
      </w:pPr>
    </w:p>
    <w:p w:rsidR="00393086" w:rsidRDefault="00393086" w:rsidP="00393086">
      <w:pPr>
        <w:autoSpaceDE w:val="0"/>
        <w:autoSpaceDN w:val="0"/>
        <w:adjustRightInd w:val="0"/>
        <w:spacing w:after="0" w:line="240" w:lineRule="auto"/>
        <w:ind w:firstLine="708"/>
        <w:jc w:val="right"/>
        <w:rPr>
          <w:rFonts w:ascii="Monotype Corsiva" w:hAnsi="Monotype Corsiva" w:cs="MonotypeCorsiva,Italic"/>
          <w:i/>
          <w:iCs/>
          <w:sz w:val="32"/>
          <w:szCs w:val="32"/>
        </w:rPr>
      </w:pPr>
    </w:p>
    <w:p w:rsidR="00DA45D9" w:rsidRDefault="00DA45D9" w:rsidP="00393086">
      <w:pPr>
        <w:tabs>
          <w:tab w:val="left" w:pos="3165"/>
        </w:tabs>
        <w:rPr>
          <w:rFonts w:ascii="Monotype Corsiva" w:hAnsi="Monotype Corsiva" w:cs="MonotypeCorsiva,Italic"/>
          <w:sz w:val="32"/>
          <w:szCs w:val="32"/>
        </w:rPr>
        <w:sectPr w:rsidR="00DA45D9" w:rsidSect="002359E6">
          <w:headerReference w:type="default" r:id="rId13"/>
          <w:type w:val="oddPage"/>
          <w:pgSz w:w="11906" w:h="16838"/>
          <w:pgMar w:top="1417" w:right="1417" w:bottom="1417" w:left="1417" w:header="708" w:footer="708" w:gutter="0"/>
          <w:cols w:space="708"/>
          <w:docGrid w:linePitch="360"/>
        </w:sectPr>
      </w:pPr>
    </w:p>
    <w:p w:rsidR="00136E74" w:rsidRPr="00A10C75" w:rsidRDefault="00136E74" w:rsidP="00136E74">
      <w:pPr>
        <w:jc w:val="center"/>
        <w:rPr>
          <w:rFonts w:cs="Times New Roman"/>
          <w:b/>
          <w:i/>
          <w:iCs/>
          <w:color w:val="002060"/>
          <w:sz w:val="44"/>
          <w:szCs w:val="44"/>
        </w:rPr>
      </w:pPr>
      <w:r w:rsidRPr="00A10C75">
        <w:rPr>
          <w:rFonts w:cs="Times New Roman"/>
          <w:b/>
          <w:i/>
          <w:iCs/>
          <w:color w:val="002060"/>
          <w:sz w:val="44"/>
          <w:szCs w:val="44"/>
        </w:rPr>
        <w:lastRenderedPageBreak/>
        <w:t>Je dédie ce mémoire</w:t>
      </w:r>
    </w:p>
    <w:p w:rsidR="00136E74" w:rsidRPr="00A10C75" w:rsidRDefault="00136E74" w:rsidP="00136E74">
      <w:pPr>
        <w:autoSpaceDE w:val="0"/>
        <w:autoSpaceDN w:val="0"/>
        <w:adjustRightInd w:val="0"/>
        <w:spacing w:after="0" w:line="240" w:lineRule="auto"/>
        <w:jc w:val="center"/>
        <w:rPr>
          <w:rFonts w:asciiTheme="majorBidi" w:hAnsiTheme="majorBidi" w:cstheme="majorBidi"/>
          <w:i/>
          <w:iCs/>
          <w:color w:val="002060"/>
          <w:sz w:val="28"/>
          <w:szCs w:val="28"/>
        </w:rPr>
      </w:pPr>
    </w:p>
    <w:p w:rsidR="00136E74" w:rsidRDefault="00136E74" w:rsidP="00136E74">
      <w:pPr>
        <w:autoSpaceDE w:val="0"/>
        <w:autoSpaceDN w:val="0"/>
        <w:adjustRightInd w:val="0"/>
        <w:spacing w:after="0" w:line="240" w:lineRule="auto"/>
        <w:jc w:val="center"/>
        <w:rPr>
          <w:rFonts w:asciiTheme="majorBidi" w:hAnsiTheme="majorBidi" w:cstheme="majorBidi"/>
          <w:i/>
          <w:iCs/>
          <w:color w:val="002060"/>
          <w:sz w:val="28"/>
          <w:szCs w:val="28"/>
        </w:rPr>
      </w:pPr>
    </w:p>
    <w:p w:rsidR="00136E74" w:rsidRDefault="00136E74" w:rsidP="00136E74">
      <w:pPr>
        <w:autoSpaceDE w:val="0"/>
        <w:autoSpaceDN w:val="0"/>
        <w:adjustRightInd w:val="0"/>
        <w:spacing w:after="0" w:line="240" w:lineRule="auto"/>
        <w:jc w:val="center"/>
        <w:rPr>
          <w:rFonts w:asciiTheme="majorBidi" w:hAnsiTheme="majorBidi" w:cstheme="majorBidi"/>
          <w:i/>
          <w:iCs/>
          <w:color w:val="002060"/>
          <w:sz w:val="28"/>
          <w:szCs w:val="28"/>
        </w:rPr>
      </w:pPr>
    </w:p>
    <w:p w:rsidR="00136E74" w:rsidRPr="00A10C75" w:rsidRDefault="000B12E4" w:rsidP="00136E74">
      <w:pPr>
        <w:autoSpaceDE w:val="0"/>
        <w:autoSpaceDN w:val="0"/>
        <w:adjustRightInd w:val="0"/>
        <w:spacing w:after="0" w:line="240" w:lineRule="auto"/>
        <w:jc w:val="center"/>
        <w:rPr>
          <w:rFonts w:asciiTheme="majorBidi" w:hAnsiTheme="majorBidi" w:cstheme="majorBidi"/>
          <w:i/>
          <w:iCs/>
          <w:color w:val="002060"/>
          <w:sz w:val="28"/>
          <w:szCs w:val="28"/>
        </w:rPr>
      </w:pPr>
      <w:r>
        <w:rPr>
          <w:rFonts w:asciiTheme="majorBidi" w:hAnsiTheme="majorBidi" w:cstheme="majorBidi"/>
          <w:i/>
          <w:iCs/>
          <w:color w:val="002060"/>
          <w:sz w:val="28"/>
          <w:szCs w:val="28"/>
        </w:rPr>
        <w:t>A</w:t>
      </w:r>
      <w:r w:rsidR="00136E74">
        <w:rPr>
          <w:rFonts w:asciiTheme="majorBidi" w:hAnsiTheme="majorBidi" w:cstheme="majorBidi"/>
          <w:i/>
          <w:iCs/>
          <w:color w:val="002060"/>
          <w:sz w:val="28"/>
          <w:szCs w:val="28"/>
        </w:rPr>
        <w:t xml:space="preserve"> mes parents, deux personnes</w:t>
      </w:r>
      <w:r w:rsidR="00136E74" w:rsidRPr="00A10C75">
        <w:rPr>
          <w:rFonts w:asciiTheme="majorBidi" w:hAnsiTheme="majorBidi" w:cstheme="majorBidi"/>
          <w:i/>
          <w:iCs/>
          <w:color w:val="002060"/>
          <w:sz w:val="28"/>
          <w:szCs w:val="28"/>
        </w:rPr>
        <w:t xml:space="preserve"> devant </w:t>
      </w:r>
      <w:r w:rsidR="005B33F3" w:rsidRPr="00A10C75">
        <w:rPr>
          <w:rFonts w:asciiTheme="majorBidi" w:hAnsiTheme="majorBidi" w:cstheme="majorBidi"/>
          <w:i/>
          <w:iCs/>
          <w:color w:val="002060"/>
          <w:sz w:val="28"/>
          <w:szCs w:val="28"/>
        </w:rPr>
        <w:t>le</w:t>
      </w:r>
      <w:r w:rsidR="005B33F3">
        <w:rPr>
          <w:rFonts w:asciiTheme="majorBidi" w:hAnsiTheme="majorBidi" w:cstheme="majorBidi"/>
          <w:i/>
          <w:iCs/>
          <w:color w:val="002060"/>
          <w:sz w:val="28"/>
          <w:szCs w:val="28"/>
        </w:rPr>
        <w:t>squels</w:t>
      </w:r>
      <w:r w:rsidR="00136E74" w:rsidRPr="00A10C75">
        <w:rPr>
          <w:rFonts w:asciiTheme="majorBidi" w:hAnsiTheme="majorBidi" w:cstheme="majorBidi"/>
          <w:i/>
          <w:iCs/>
          <w:color w:val="002060"/>
          <w:sz w:val="28"/>
          <w:szCs w:val="28"/>
        </w:rPr>
        <w:t xml:space="preserve"> les mots et les phrases ne suffiront jamais pour </w:t>
      </w:r>
      <w:r w:rsidR="00136E74">
        <w:rPr>
          <w:rFonts w:asciiTheme="majorBidi" w:hAnsiTheme="majorBidi" w:cstheme="majorBidi"/>
          <w:i/>
          <w:iCs/>
          <w:color w:val="002060"/>
          <w:sz w:val="28"/>
          <w:szCs w:val="28"/>
        </w:rPr>
        <w:t>leur</w:t>
      </w:r>
      <w:r w:rsidR="00136E74" w:rsidRPr="00A10C75">
        <w:rPr>
          <w:rFonts w:asciiTheme="majorBidi" w:hAnsiTheme="majorBidi" w:cstheme="majorBidi"/>
          <w:i/>
          <w:iCs/>
          <w:color w:val="002060"/>
          <w:sz w:val="28"/>
          <w:szCs w:val="28"/>
        </w:rPr>
        <w:t xml:space="preserve"> décrire mon amour et </w:t>
      </w:r>
      <w:r w:rsidR="00136E74">
        <w:rPr>
          <w:rFonts w:asciiTheme="majorBidi" w:hAnsiTheme="majorBidi" w:cstheme="majorBidi"/>
          <w:i/>
          <w:iCs/>
          <w:color w:val="002060"/>
          <w:sz w:val="28"/>
          <w:szCs w:val="28"/>
        </w:rPr>
        <w:t>leur</w:t>
      </w:r>
      <w:r w:rsidR="000217A4">
        <w:rPr>
          <w:rFonts w:asciiTheme="majorBidi" w:hAnsiTheme="majorBidi" w:cstheme="majorBidi"/>
          <w:i/>
          <w:iCs/>
          <w:color w:val="002060"/>
          <w:sz w:val="28"/>
          <w:szCs w:val="28"/>
        </w:rPr>
        <w:t xml:space="preserve"> </w:t>
      </w:r>
      <w:r w:rsidR="00136E74">
        <w:rPr>
          <w:rFonts w:asciiTheme="majorBidi" w:hAnsiTheme="majorBidi" w:cstheme="majorBidi"/>
          <w:i/>
          <w:iCs/>
          <w:color w:val="002060"/>
          <w:sz w:val="28"/>
          <w:szCs w:val="28"/>
        </w:rPr>
        <w:t>valeur</w:t>
      </w:r>
      <w:r w:rsidR="00136E74" w:rsidRPr="00A10C75">
        <w:rPr>
          <w:rFonts w:asciiTheme="majorBidi" w:hAnsiTheme="majorBidi" w:cstheme="majorBidi"/>
          <w:i/>
          <w:iCs/>
          <w:color w:val="002060"/>
          <w:sz w:val="28"/>
          <w:szCs w:val="28"/>
        </w:rPr>
        <w:t xml:space="preserve"> précieuse dans ma vie.</w:t>
      </w:r>
    </w:p>
    <w:p w:rsidR="00136E74" w:rsidRPr="00A10C75" w:rsidRDefault="00136E74" w:rsidP="00136E74">
      <w:pPr>
        <w:autoSpaceDE w:val="0"/>
        <w:autoSpaceDN w:val="0"/>
        <w:adjustRightInd w:val="0"/>
        <w:spacing w:after="0" w:line="240" w:lineRule="auto"/>
        <w:jc w:val="center"/>
        <w:rPr>
          <w:rFonts w:asciiTheme="majorBidi" w:hAnsiTheme="majorBidi" w:cstheme="majorBidi"/>
          <w:i/>
          <w:iCs/>
          <w:color w:val="002060"/>
          <w:sz w:val="28"/>
          <w:szCs w:val="28"/>
        </w:rPr>
      </w:pPr>
    </w:p>
    <w:p w:rsidR="00136E74" w:rsidRPr="00A10C75" w:rsidRDefault="00136E74" w:rsidP="00136E74">
      <w:pPr>
        <w:autoSpaceDE w:val="0"/>
        <w:autoSpaceDN w:val="0"/>
        <w:adjustRightInd w:val="0"/>
        <w:spacing w:after="0" w:line="240" w:lineRule="auto"/>
        <w:jc w:val="center"/>
        <w:rPr>
          <w:rFonts w:asciiTheme="majorBidi" w:hAnsiTheme="majorBidi" w:cstheme="majorBidi"/>
          <w:i/>
          <w:iCs/>
          <w:color w:val="002060"/>
          <w:sz w:val="28"/>
          <w:szCs w:val="28"/>
        </w:rPr>
      </w:pPr>
    </w:p>
    <w:p w:rsidR="00136E74" w:rsidRPr="00A10C75" w:rsidRDefault="00136E74" w:rsidP="00136E74">
      <w:pPr>
        <w:autoSpaceDE w:val="0"/>
        <w:autoSpaceDN w:val="0"/>
        <w:adjustRightInd w:val="0"/>
        <w:spacing w:after="0" w:line="240" w:lineRule="auto"/>
        <w:jc w:val="center"/>
        <w:rPr>
          <w:rFonts w:asciiTheme="majorBidi" w:hAnsiTheme="majorBidi" w:cstheme="majorBidi"/>
          <w:i/>
          <w:iCs/>
          <w:color w:val="002060"/>
          <w:sz w:val="28"/>
          <w:szCs w:val="28"/>
        </w:rPr>
      </w:pPr>
      <w:r w:rsidRPr="00A10C75">
        <w:rPr>
          <w:rFonts w:asciiTheme="majorBidi" w:hAnsiTheme="majorBidi" w:cstheme="majorBidi"/>
          <w:i/>
          <w:iCs/>
          <w:color w:val="002060"/>
          <w:sz w:val="28"/>
          <w:szCs w:val="28"/>
        </w:rPr>
        <w:t>A ma sœur ainsi que  mes deux  frères pour leur tendresse, leur complicité et leur présence qui m’a apporté beaucoup de courage.</w:t>
      </w:r>
    </w:p>
    <w:p w:rsidR="00136E74" w:rsidRPr="00A10C75" w:rsidRDefault="00136E74" w:rsidP="00136E74">
      <w:pPr>
        <w:autoSpaceDE w:val="0"/>
        <w:autoSpaceDN w:val="0"/>
        <w:adjustRightInd w:val="0"/>
        <w:spacing w:after="0" w:line="240" w:lineRule="auto"/>
        <w:jc w:val="center"/>
        <w:rPr>
          <w:rFonts w:asciiTheme="majorBidi" w:hAnsiTheme="majorBidi" w:cstheme="majorBidi"/>
          <w:i/>
          <w:iCs/>
          <w:color w:val="002060"/>
          <w:sz w:val="28"/>
          <w:szCs w:val="28"/>
        </w:rPr>
      </w:pPr>
    </w:p>
    <w:p w:rsidR="00136E74" w:rsidRPr="00A10C75" w:rsidRDefault="00136E74" w:rsidP="00136E74">
      <w:pPr>
        <w:autoSpaceDE w:val="0"/>
        <w:autoSpaceDN w:val="0"/>
        <w:adjustRightInd w:val="0"/>
        <w:spacing w:after="0" w:line="240" w:lineRule="auto"/>
        <w:jc w:val="center"/>
        <w:rPr>
          <w:rFonts w:asciiTheme="majorBidi" w:hAnsiTheme="majorBidi" w:cstheme="majorBidi"/>
          <w:i/>
          <w:iCs/>
          <w:color w:val="002060"/>
          <w:sz w:val="28"/>
          <w:szCs w:val="28"/>
        </w:rPr>
      </w:pPr>
    </w:p>
    <w:p w:rsidR="00136E74" w:rsidRPr="00A10C75" w:rsidRDefault="00136E74" w:rsidP="00136E74">
      <w:pPr>
        <w:autoSpaceDE w:val="0"/>
        <w:autoSpaceDN w:val="0"/>
        <w:adjustRightInd w:val="0"/>
        <w:spacing w:after="0" w:line="240" w:lineRule="auto"/>
        <w:jc w:val="center"/>
        <w:rPr>
          <w:rFonts w:asciiTheme="majorBidi" w:hAnsiTheme="majorBidi" w:cstheme="majorBidi"/>
          <w:i/>
          <w:iCs/>
          <w:color w:val="002060"/>
          <w:sz w:val="28"/>
          <w:szCs w:val="28"/>
        </w:rPr>
      </w:pPr>
    </w:p>
    <w:p w:rsidR="00393086" w:rsidRDefault="00136E74" w:rsidP="00136E74">
      <w:pPr>
        <w:tabs>
          <w:tab w:val="left" w:pos="3165"/>
        </w:tabs>
        <w:rPr>
          <w:rFonts w:asciiTheme="majorBidi" w:hAnsiTheme="majorBidi" w:cstheme="majorBidi"/>
          <w:i/>
          <w:iCs/>
          <w:color w:val="002060"/>
          <w:sz w:val="28"/>
          <w:szCs w:val="28"/>
        </w:rPr>
      </w:pPr>
      <w:r w:rsidRPr="00A10C75">
        <w:rPr>
          <w:rFonts w:asciiTheme="majorBidi" w:hAnsiTheme="majorBidi" w:cstheme="majorBidi"/>
          <w:i/>
          <w:iCs/>
          <w:color w:val="002060"/>
          <w:sz w:val="28"/>
          <w:szCs w:val="28"/>
        </w:rPr>
        <w:t>A mes chers amis, assez nombreux pour citer leurs noms. Je dédie ce travail aussi à toutes les personnes qui m’aiment et qui m’ont apporté un courage précieux pour aboutir à  ce travail</w:t>
      </w:r>
      <w:r>
        <w:rPr>
          <w:rFonts w:asciiTheme="majorBidi" w:hAnsiTheme="majorBidi" w:cstheme="majorBidi"/>
          <w:i/>
          <w:iCs/>
          <w:color w:val="002060"/>
          <w:sz w:val="28"/>
          <w:szCs w:val="28"/>
        </w:rPr>
        <w:t>.</w:t>
      </w:r>
    </w:p>
    <w:p w:rsidR="00136E74" w:rsidRDefault="00136E74" w:rsidP="00136E74">
      <w:pPr>
        <w:tabs>
          <w:tab w:val="left" w:pos="3165"/>
        </w:tabs>
        <w:rPr>
          <w:rFonts w:asciiTheme="majorBidi" w:hAnsiTheme="majorBidi" w:cstheme="majorBidi"/>
          <w:i/>
          <w:iCs/>
          <w:color w:val="002060"/>
          <w:sz w:val="28"/>
          <w:szCs w:val="28"/>
        </w:rPr>
      </w:pPr>
    </w:p>
    <w:p w:rsidR="00136E74" w:rsidRDefault="00136E74" w:rsidP="00136E74">
      <w:pPr>
        <w:tabs>
          <w:tab w:val="left" w:pos="3165"/>
        </w:tabs>
        <w:rPr>
          <w:rFonts w:asciiTheme="majorBidi" w:hAnsiTheme="majorBidi" w:cstheme="majorBidi"/>
          <w:i/>
          <w:iCs/>
          <w:color w:val="002060"/>
          <w:sz w:val="28"/>
          <w:szCs w:val="28"/>
        </w:rPr>
      </w:pPr>
    </w:p>
    <w:p w:rsidR="00136E74" w:rsidRDefault="00136E74" w:rsidP="00136E74">
      <w:pPr>
        <w:tabs>
          <w:tab w:val="left" w:pos="3165"/>
        </w:tabs>
        <w:jc w:val="right"/>
        <w:rPr>
          <w:rFonts w:asciiTheme="majorBidi" w:hAnsiTheme="majorBidi" w:cstheme="majorBidi"/>
          <w:i/>
          <w:iCs/>
          <w:color w:val="002060"/>
          <w:sz w:val="28"/>
          <w:szCs w:val="28"/>
        </w:rPr>
      </w:pPr>
      <w:r>
        <w:rPr>
          <w:rFonts w:asciiTheme="majorBidi" w:hAnsiTheme="majorBidi" w:cstheme="majorBidi"/>
          <w:i/>
          <w:iCs/>
          <w:color w:val="002060"/>
          <w:sz w:val="28"/>
          <w:szCs w:val="28"/>
        </w:rPr>
        <w:t>Mlle Kahina ABANE</w:t>
      </w:r>
    </w:p>
    <w:p w:rsidR="00136E74" w:rsidRDefault="00136E74" w:rsidP="00136E74">
      <w:pPr>
        <w:tabs>
          <w:tab w:val="left" w:pos="3165"/>
        </w:tabs>
        <w:ind w:firstLine="0"/>
        <w:jc w:val="right"/>
        <w:rPr>
          <w:rFonts w:ascii="Monotype Corsiva" w:hAnsi="Monotype Corsiva" w:cs="MonotypeCorsiva,Italic"/>
          <w:sz w:val="32"/>
          <w:szCs w:val="32"/>
        </w:rPr>
        <w:sectPr w:rsidR="00136E74" w:rsidSect="002359E6">
          <w:headerReference w:type="default" r:id="rId14"/>
          <w:type w:val="oddPage"/>
          <w:pgSz w:w="11906" w:h="16838"/>
          <w:pgMar w:top="1417" w:right="1417" w:bottom="1417" w:left="1417" w:header="708" w:footer="708" w:gutter="0"/>
          <w:cols w:space="708"/>
          <w:docGrid w:linePitch="360"/>
        </w:sectPr>
      </w:pPr>
    </w:p>
    <w:p w:rsidR="00C161AE" w:rsidRPr="00C161AE" w:rsidRDefault="00826CCF" w:rsidP="00C161AE">
      <w:pPr>
        <w:spacing w:before="0" w:after="200"/>
        <w:ind w:firstLine="0"/>
        <w:jc w:val="center"/>
        <w:rPr>
          <w:rFonts w:ascii="Monotype Corsiva" w:eastAsia="Calibri" w:hAnsi="Monotype Corsiva" w:cs="Arial"/>
          <w:sz w:val="36"/>
          <w:szCs w:val="36"/>
          <w:lang w:eastAsia="en-US"/>
        </w:rPr>
      </w:pPr>
      <w:r>
        <w:rPr>
          <w:rFonts w:ascii="Monotype Corsiva" w:eastAsia="Calibri" w:hAnsi="Monotype Corsiva" w:cs="Arial"/>
          <w:sz w:val="36"/>
          <w:szCs w:val="36"/>
          <w:lang w:eastAsia="en-US"/>
        </w:rPr>
        <w:lastRenderedPageBreak/>
        <w:pict>
          <v:shape id="_x0000_i1026" type="#_x0000_t175" style="width:206.3pt;height:51.8pt" adj="7200" fillcolor="black">
            <v:shadow color="#868686"/>
            <v:textpath style="font-family:&quot;Times New Roman&quot;;v-text-kern:t" trim="t" fitpath="t" string="Dédicaces"/>
          </v:shape>
        </w:pict>
      </w:r>
    </w:p>
    <w:p w:rsidR="00C161AE" w:rsidRPr="00C161AE" w:rsidRDefault="00C161AE" w:rsidP="00D95740">
      <w:pPr>
        <w:numPr>
          <w:ilvl w:val="0"/>
          <w:numId w:val="32"/>
        </w:numPr>
        <w:spacing w:before="0" w:after="0" w:line="276" w:lineRule="auto"/>
        <w:contextualSpacing/>
        <w:jc w:val="lowKashida"/>
        <w:rPr>
          <w:rFonts w:ascii="Monotype Corsiva" w:eastAsia="Calibri" w:hAnsi="Monotype Corsiva" w:cs="Arial"/>
          <w:i/>
          <w:iCs/>
          <w:sz w:val="36"/>
          <w:szCs w:val="36"/>
          <w:lang w:eastAsia="en-US"/>
        </w:rPr>
      </w:pPr>
      <w:r w:rsidRPr="00C161AE">
        <w:rPr>
          <w:rFonts w:ascii="Monotype Corsiva" w:eastAsia="Calibri" w:hAnsi="Monotype Corsiva" w:cs="Arial"/>
          <w:i/>
          <w:iCs/>
          <w:sz w:val="36"/>
          <w:szCs w:val="36"/>
          <w:lang w:eastAsia="en-US"/>
        </w:rPr>
        <w:t xml:space="preserve">A la personne devant laquelle tous les mots de l'univers sont incapables d'exprimer mon amour et mon affection pour elle, à l'être qui m'est le plus cher, à ma douce mère. </w:t>
      </w:r>
      <w:r w:rsidRPr="00C161AE">
        <w:rPr>
          <w:rFonts w:ascii="Monotype Corsiva" w:eastAsia="Calibri" w:hAnsi="Monotype Corsiva" w:cs="Algerian"/>
          <w:sz w:val="36"/>
          <w:szCs w:val="36"/>
          <w:lang w:eastAsia="en-US"/>
        </w:rPr>
        <w:t>Puisse ce travail être la récompense de tes soutiens moraux et sacrifices. Que Dieu te garde et t’accorde santé et bonheur pour que tu restes la splendeur de ma vie ;</w:t>
      </w:r>
    </w:p>
    <w:p w:rsidR="00C161AE" w:rsidRPr="00C161AE" w:rsidRDefault="00C161AE" w:rsidP="00D95740">
      <w:pPr>
        <w:numPr>
          <w:ilvl w:val="0"/>
          <w:numId w:val="32"/>
        </w:numPr>
        <w:autoSpaceDE w:val="0"/>
        <w:autoSpaceDN w:val="0"/>
        <w:adjustRightInd w:val="0"/>
        <w:spacing w:before="0" w:after="0" w:line="276" w:lineRule="auto"/>
        <w:contextualSpacing/>
        <w:jc w:val="left"/>
        <w:rPr>
          <w:rFonts w:ascii="Monotype Corsiva" w:eastAsia="Calibri" w:hAnsi="Monotype Corsiva" w:cs="Algerian"/>
          <w:sz w:val="36"/>
          <w:szCs w:val="36"/>
          <w:lang w:eastAsia="en-US"/>
        </w:rPr>
      </w:pPr>
      <w:r w:rsidRPr="00C161AE">
        <w:rPr>
          <w:rFonts w:ascii="Monotype Corsiva" w:eastAsia="Calibri" w:hAnsi="Monotype Corsiva" w:cs="Algerian"/>
          <w:sz w:val="36"/>
          <w:szCs w:val="36"/>
          <w:lang w:eastAsia="en-US"/>
        </w:rPr>
        <w:t>A mon père : Puisse ce travail constituer une légère compensation pour tous les nobles sacrifices que tu t’es imposé pour assurer mon bien être et mon éducation. Qu’il soit l’expression de ma profonde gratitude et ma grande considération pour le plus dévoué des pères que tu es. Puisse Dieu te prêter longue vie, santé et bonheur ;</w:t>
      </w:r>
    </w:p>
    <w:p w:rsidR="00C161AE" w:rsidRPr="00C161AE" w:rsidRDefault="00C161AE" w:rsidP="00D95740">
      <w:pPr>
        <w:numPr>
          <w:ilvl w:val="0"/>
          <w:numId w:val="31"/>
        </w:numPr>
        <w:tabs>
          <w:tab w:val="left" w:pos="1275"/>
        </w:tabs>
        <w:spacing w:before="0" w:after="200" w:line="276" w:lineRule="auto"/>
        <w:contextualSpacing/>
        <w:jc w:val="left"/>
        <w:rPr>
          <w:rFonts w:ascii="Monotype Corsiva" w:eastAsia="Calibri" w:hAnsi="Monotype Corsiva" w:cs="Arial"/>
          <w:sz w:val="36"/>
          <w:szCs w:val="36"/>
          <w:lang w:eastAsia="en-US"/>
        </w:rPr>
      </w:pPr>
      <w:r w:rsidRPr="00C161AE">
        <w:rPr>
          <w:rFonts w:ascii="Monotype Corsiva" w:eastAsia="Calibri" w:hAnsi="Monotype Corsiva" w:cs="Arial"/>
          <w:sz w:val="36"/>
          <w:szCs w:val="36"/>
          <w:lang w:eastAsia="en-US"/>
        </w:rPr>
        <w:t>Mon f</w:t>
      </w:r>
      <w:r w:rsidR="00325B2E">
        <w:rPr>
          <w:rFonts w:ascii="Monotype Corsiva" w:eastAsia="Calibri" w:hAnsi="Monotype Corsiva" w:cs="Arial"/>
          <w:sz w:val="36"/>
          <w:szCs w:val="36"/>
          <w:lang w:eastAsia="en-US"/>
        </w:rPr>
        <w:t>rère  Omar</w:t>
      </w:r>
      <w:r w:rsidRPr="00C161AE">
        <w:rPr>
          <w:rFonts w:ascii="Monotype Corsiva" w:eastAsia="Calibri" w:hAnsi="Monotype Corsiva" w:cs="Arial"/>
          <w:sz w:val="36"/>
          <w:szCs w:val="36"/>
          <w:lang w:eastAsia="en-US"/>
        </w:rPr>
        <w:t> ;</w:t>
      </w:r>
    </w:p>
    <w:p w:rsidR="00C161AE" w:rsidRPr="00C161AE" w:rsidRDefault="00C161AE" w:rsidP="00D95740">
      <w:pPr>
        <w:numPr>
          <w:ilvl w:val="0"/>
          <w:numId w:val="31"/>
        </w:numPr>
        <w:tabs>
          <w:tab w:val="left" w:pos="1275"/>
        </w:tabs>
        <w:spacing w:before="0" w:after="200" w:line="276" w:lineRule="auto"/>
        <w:contextualSpacing/>
        <w:jc w:val="left"/>
        <w:rPr>
          <w:rFonts w:ascii="Monotype Corsiva" w:eastAsia="Calibri" w:hAnsi="Monotype Corsiva" w:cs="Arial"/>
          <w:sz w:val="36"/>
          <w:szCs w:val="36"/>
          <w:lang w:eastAsia="en-US"/>
        </w:rPr>
      </w:pPr>
      <w:r w:rsidRPr="00C161AE">
        <w:rPr>
          <w:rFonts w:ascii="Monotype Corsiva" w:eastAsia="Calibri" w:hAnsi="Monotype Corsiva" w:cs="Arial"/>
          <w:sz w:val="36"/>
          <w:szCs w:val="36"/>
          <w:lang w:eastAsia="en-US"/>
        </w:rPr>
        <w:t xml:space="preserve">Mes  sœurs Saida, Fatiha </w:t>
      </w:r>
    </w:p>
    <w:p w:rsidR="00C161AE" w:rsidRPr="00C161AE" w:rsidRDefault="00C161AE" w:rsidP="00D95740">
      <w:pPr>
        <w:numPr>
          <w:ilvl w:val="0"/>
          <w:numId w:val="31"/>
        </w:numPr>
        <w:tabs>
          <w:tab w:val="left" w:pos="1275"/>
        </w:tabs>
        <w:spacing w:before="0" w:after="200" w:line="276" w:lineRule="auto"/>
        <w:contextualSpacing/>
        <w:jc w:val="left"/>
        <w:rPr>
          <w:rFonts w:ascii="Monotype Corsiva" w:eastAsia="Calibri" w:hAnsi="Monotype Corsiva" w:cs="Arial"/>
          <w:sz w:val="36"/>
          <w:szCs w:val="36"/>
          <w:lang w:eastAsia="en-US"/>
        </w:rPr>
      </w:pPr>
      <w:r w:rsidRPr="00C161AE">
        <w:rPr>
          <w:rFonts w:ascii="Monotype Corsiva" w:eastAsia="Calibri" w:hAnsi="Monotype Corsiva" w:cs="Arial"/>
          <w:sz w:val="36"/>
          <w:szCs w:val="36"/>
          <w:lang w:eastAsia="en-US"/>
        </w:rPr>
        <w:t xml:space="preserve">Mes amis et plus particulièrement Kahina et </w:t>
      </w:r>
      <w:proofErr w:type="spellStart"/>
      <w:r w:rsidRPr="00C161AE">
        <w:rPr>
          <w:rFonts w:ascii="Monotype Corsiva" w:eastAsia="Calibri" w:hAnsi="Monotype Corsiva" w:cs="Arial"/>
          <w:sz w:val="36"/>
          <w:szCs w:val="36"/>
          <w:lang w:eastAsia="en-US"/>
        </w:rPr>
        <w:t>Ouacila</w:t>
      </w:r>
      <w:proofErr w:type="spellEnd"/>
      <w:r w:rsidRPr="00C161AE">
        <w:rPr>
          <w:rFonts w:ascii="Monotype Corsiva" w:eastAsia="Calibri" w:hAnsi="Monotype Corsiva" w:cs="Arial"/>
          <w:sz w:val="36"/>
          <w:szCs w:val="36"/>
          <w:lang w:eastAsia="en-US"/>
        </w:rPr>
        <w:t>.</w:t>
      </w:r>
    </w:p>
    <w:p w:rsidR="00C161AE" w:rsidRPr="00C161AE" w:rsidRDefault="00C161AE" w:rsidP="00C161AE">
      <w:pPr>
        <w:tabs>
          <w:tab w:val="left" w:pos="1275"/>
        </w:tabs>
        <w:spacing w:before="0" w:after="200"/>
        <w:ind w:firstLine="0"/>
        <w:jc w:val="left"/>
        <w:rPr>
          <w:rFonts w:ascii="Monotype Corsiva" w:eastAsia="Calibri" w:hAnsi="Monotype Corsiva" w:cs="Arial"/>
          <w:sz w:val="36"/>
          <w:szCs w:val="36"/>
          <w:lang w:eastAsia="en-US"/>
        </w:rPr>
      </w:pPr>
    </w:p>
    <w:p w:rsidR="00C161AE" w:rsidRPr="00C161AE" w:rsidRDefault="00CC0573" w:rsidP="00C161AE">
      <w:pPr>
        <w:tabs>
          <w:tab w:val="left" w:pos="1275"/>
        </w:tabs>
        <w:spacing w:before="0" w:after="200"/>
        <w:ind w:left="720" w:firstLine="0"/>
        <w:contextualSpacing/>
        <w:jc w:val="left"/>
        <w:rPr>
          <w:rFonts w:ascii="Monotype Corsiva" w:eastAsia="Calibri" w:hAnsi="Monotype Corsiva" w:cs="Arial"/>
          <w:sz w:val="36"/>
          <w:szCs w:val="36"/>
          <w:lang w:eastAsia="en-US"/>
        </w:rPr>
      </w:pPr>
      <w:r>
        <w:rPr>
          <w:rFonts w:ascii="Calibri" w:eastAsia="Calibri" w:hAnsi="Calibri" w:cs="Arial"/>
          <w:noProof/>
          <w:sz w:val="22"/>
        </w:rPr>
        <mc:AlternateContent>
          <mc:Choice Requires="wps">
            <w:drawing>
              <wp:anchor distT="0" distB="0" distL="114300" distR="114300" simplePos="0" relativeHeight="251714560" behindDoc="0" locked="0" layoutInCell="1" allowOverlap="1" wp14:anchorId="3F39E6BF" wp14:editId="2B5612C4">
                <wp:simplePos x="0" y="0"/>
                <wp:positionH relativeFrom="column">
                  <wp:posOffset>4480560</wp:posOffset>
                </wp:positionH>
                <wp:positionV relativeFrom="paragraph">
                  <wp:posOffset>366395</wp:posOffset>
                </wp:positionV>
                <wp:extent cx="1666875" cy="616585"/>
                <wp:effectExtent l="0" t="0" r="9525" b="0"/>
                <wp:wrapNone/>
                <wp:docPr id="39" name="Zone de texte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616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6CCF" w:rsidRPr="0044187B" w:rsidRDefault="00826CCF" w:rsidP="00C161AE">
                            <w:pPr>
                              <w:rPr>
                                <w:rFonts w:ascii="Monotype Corsiva" w:hAnsi="Monotype Corsiva"/>
                                <w:sz w:val="52"/>
                                <w:szCs w:val="52"/>
                              </w:rPr>
                            </w:pPr>
                            <w:proofErr w:type="spellStart"/>
                            <w:r>
                              <w:rPr>
                                <w:rFonts w:ascii="Monotype Corsiva" w:hAnsi="Monotype Corsiva"/>
                                <w:sz w:val="52"/>
                                <w:szCs w:val="52"/>
                              </w:rPr>
                              <w:t>Djedjiga</w:t>
                            </w:r>
                            <w:proofErr w:type="spellEnd"/>
                          </w:p>
                          <w:p w:rsidR="00826CCF" w:rsidRDefault="00826CCF" w:rsidP="00C161A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4" o:spid="_x0000_s1032" type="#_x0000_t202" style="position:absolute;left:0;text-align:left;margin-left:352.8pt;margin-top:28.85pt;width:131.25pt;height:48.5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" stroked="f">
                <v:textbox>
                  <w:txbxContent>
                    <w:p w:rsidR="00826CCF" w:rsidRPr="0044187B" w:rsidRDefault="00826CCF" w:rsidP="00C161AE">
                      <w:pPr>
                        <w:rPr>
                          <w:rFonts w:ascii="Monotype Corsiva" w:hAnsi="Monotype Corsiva"/>
                          <w:sz w:val="52"/>
                          <w:szCs w:val="52"/>
                        </w:rPr>
                      </w:pPr>
                      <w:proofErr w:type="spellStart"/>
                      <w:r>
                        <w:rPr>
                          <w:rFonts w:ascii="Monotype Corsiva" w:hAnsi="Monotype Corsiva"/>
                          <w:sz w:val="52"/>
                          <w:szCs w:val="52"/>
                        </w:rPr>
                        <w:t>Djedjiga</w:t>
                      </w:r>
                      <w:proofErr w:type="spellEnd"/>
                    </w:p>
                    <w:p w:rsidR="00826CCF" w:rsidRDefault="00826CCF" w:rsidP="00C161AE"/>
                  </w:txbxContent>
                </v:textbox>
              </v:shape>
            </w:pict>
          </mc:Fallback>
        </mc:AlternateContent>
      </w:r>
    </w:p>
    <w:p w:rsidR="00C161AE" w:rsidRPr="00C161AE" w:rsidRDefault="00C161AE" w:rsidP="00C161AE">
      <w:pPr>
        <w:tabs>
          <w:tab w:val="left" w:pos="1275"/>
        </w:tabs>
        <w:spacing w:before="0" w:after="200"/>
        <w:ind w:firstLine="0"/>
        <w:jc w:val="center"/>
        <w:rPr>
          <w:rFonts w:ascii="Monotype Corsiva" w:eastAsia="Calibri" w:hAnsi="Monotype Corsiva" w:cs="Arial"/>
          <w:sz w:val="36"/>
          <w:szCs w:val="36"/>
          <w:lang w:eastAsia="en-US"/>
        </w:rPr>
      </w:pPr>
    </w:p>
    <w:p w:rsidR="00C161AE" w:rsidRPr="00C161AE" w:rsidRDefault="00C161AE" w:rsidP="00C161AE">
      <w:pPr>
        <w:tabs>
          <w:tab w:val="left" w:pos="1275"/>
        </w:tabs>
        <w:spacing w:before="0" w:after="200"/>
        <w:ind w:firstLine="0"/>
        <w:jc w:val="center"/>
        <w:rPr>
          <w:rFonts w:ascii="Monotype Corsiva" w:eastAsia="Calibri" w:hAnsi="Monotype Corsiva" w:cs="Arial"/>
          <w:sz w:val="36"/>
          <w:szCs w:val="36"/>
          <w:lang w:eastAsia="en-US"/>
        </w:rPr>
      </w:pPr>
    </w:p>
    <w:p w:rsidR="00136E74" w:rsidRDefault="00136E74" w:rsidP="00136E74">
      <w:pPr>
        <w:tabs>
          <w:tab w:val="left" w:pos="3165"/>
        </w:tabs>
        <w:ind w:firstLine="0"/>
        <w:jc w:val="right"/>
        <w:rPr>
          <w:rFonts w:ascii="Monotype Corsiva" w:hAnsi="Monotype Corsiva" w:cs="MonotypeCorsiva,Italic"/>
          <w:sz w:val="32"/>
          <w:szCs w:val="32"/>
        </w:rPr>
        <w:sectPr w:rsidR="00136E74" w:rsidSect="002359E6">
          <w:type w:val="oddPage"/>
          <w:pgSz w:w="11906" w:h="16838"/>
          <w:pgMar w:top="1417" w:right="1417" w:bottom="1417" w:left="1417" w:header="708" w:footer="708" w:gutter="0"/>
          <w:cols w:space="708"/>
          <w:docGrid w:linePitch="360"/>
        </w:sectPr>
      </w:pPr>
    </w:p>
    <w:p w:rsidR="009A55FB" w:rsidRPr="005F1DED" w:rsidRDefault="009A55FB" w:rsidP="009A55FB">
      <w:pPr>
        <w:jc w:val="center"/>
        <w:rPr>
          <w:rFonts w:asciiTheme="majorBidi" w:hAnsiTheme="majorBidi" w:cstheme="majorBidi"/>
          <w:b/>
          <w:bCs/>
          <w:i/>
          <w:sz w:val="48"/>
          <w:szCs w:val="48"/>
        </w:rPr>
      </w:pPr>
      <w:r w:rsidRPr="005F1DED">
        <w:rPr>
          <w:rFonts w:asciiTheme="majorBidi" w:hAnsiTheme="majorBidi" w:cstheme="majorBidi"/>
          <w:b/>
          <w:bCs/>
          <w:i/>
          <w:sz w:val="48"/>
          <w:szCs w:val="48"/>
        </w:rPr>
        <w:lastRenderedPageBreak/>
        <w:t>Liste des abréviations</w:t>
      </w:r>
    </w:p>
    <w:p w:rsidR="00BA7521" w:rsidRDefault="00BA7521" w:rsidP="009A55FB">
      <w:pPr>
        <w:rPr>
          <w:rFonts w:asciiTheme="majorBidi" w:hAnsiTheme="majorBidi" w:cstheme="majorBidi"/>
          <w:szCs w:val="24"/>
        </w:rPr>
      </w:pPr>
      <w:r w:rsidRPr="00C13062">
        <w:rPr>
          <w:rFonts w:asciiTheme="majorBidi" w:hAnsiTheme="majorBidi" w:cstheme="majorBidi"/>
          <w:b/>
          <w:bCs/>
          <w:szCs w:val="24"/>
        </w:rPr>
        <w:t xml:space="preserve">ABEF : </w:t>
      </w:r>
      <w:r w:rsidRPr="00C13062">
        <w:rPr>
          <w:rFonts w:asciiTheme="majorBidi" w:hAnsiTheme="majorBidi" w:cstheme="majorBidi"/>
          <w:szCs w:val="24"/>
        </w:rPr>
        <w:t>Association des Banques et Etablissements Financiers</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BA</w:t>
      </w:r>
      <w:r>
        <w:rPr>
          <w:rFonts w:asciiTheme="majorBidi" w:hAnsiTheme="majorBidi" w:cstheme="majorBidi"/>
          <w:szCs w:val="24"/>
        </w:rPr>
        <w:t> : Banque d’Algérie</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BCA</w:t>
      </w:r>
      <w:r>
        <w:rPr>
          <w:rFonts w:asciiTheme="majorBidi" w:hAnsiTheme="majorBidi" w:cstheme="majorBidi"/>
          <w:szCs w:val="24"/>
        </w:rPr>
        <w:t> : Banque Centrale d’Algérie</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BEL</w:t>
      </w:r>
      <w:r>
        <w:rPr>
          <w:rFonts w:asciiTheme="majorBidi" w:hAnsiTheme="majorBidi" w:cstheme="majorBidi"/>
          <w:szCs w:val="24"/>
        </w:rPr>
        <w:t xml:space="preserve"> : Bank </w:t>
      </w:r>
      <w:proofErr w:type="spellStart"/>
      <w:r>
        <w:rPr>
          <w:rFonts w:asciiTheme="majorBidi" w:hAnsiTheme="majorBidi" w:cstheme="majorBidi"/>
          <w:szCs w:val="24"/>
        </w:rPr>
        <w:t>Excess</w:t>
      </w:r>
      <w:proofErr w:type="spellEnd"/>
      <w:r>
        <w:rPr>
          <w:rFonts w:asciiTheme="majorBidi" w:hAnsiTheme="majorBidi" w:cstheme="majorBidi"/>
          <w:szCs w:val="24"/>
        </w:rPr>
        <w:t xml:space="preserve"> </w:t>
      </w:r>
      <w:proofErr w:type="spellStart"/>
      <w:r>
        <w:rPr>
          <w:rFonts w:asciiTheme="majorBidi" w:hAnsiTheme="majorBidi" w:cstheme="majorBidi"/>
          <w:szCs w:val="24"/>
        </w:rPr>
        <w:t>Liquidity</w:t>
      </w:r>
      <w:proofErr w:type="spellEnd"/>
    </w:p>
    <w:p w:rsidR="00BA7521" w:rsidRDefault="00BA7521" w:rsidP="009A55FB">
      <w:pPr>
        <w:rPr>
          <w:rFonts w:asciiTheme="majorBidi" w:hAnsiTheme="majorBidi" w:cstheme="majorBidi"/>
          <w:szCs w:val="24"/>
        </w:rPr>
      </w:pPr>
      <w:r w:rsidRPr="00366DBF">
        <w:rPr>
          <w:rFonts w:asciiTheme="majorBidi" w:hAnsiTheme="majorBidi" w:cstheme="majorBidi"/>
          <w:b/>
          <w:bCs/>
          <w:szCs w:val="24"/>
        </w:rPr>
        <w:t>BM</w:t>
      </w:r>
      <w:r>
        <w:rPr>
          <w:rFonts w:asciiTheme="majorBidi" w:hAnsiTheme="majorBidi" w:cstheme="majorBidi"/>
          <w:szCs w:val="24"/>
        </w:rPr>
        <w:t> : Banque Mondiale</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BNCI</w:t>
      </w:r>
      <w:r>
        <w:rPr>
          <w:rFonts w:asciiTheme="majorBidi" w:hAnsiTheme="majorBidi" w:cstheme="majorBidi"/>
          <w:szCs w:val="24"/>
        </w:rPr>
        <w:t> : Banque Nationale pour le Commerce et l’Industrie</w:t>
      </w:r>
    </w:p>
    <w:p w:rsidR="00BA7521" w:rsidRDefault="00BA7521" w:rsidP="009A55FB">
      <w:pPr>
        <w:rPr>
          <w:rFonts w:asciiTheme="majorBidi" w:hAnsiTheme="majorBidi" w:cstheme="majorBidi"/>
          <w:szCs w:val="24"/>
        </w:rPr>
      </w:pPr>
      <w:r w:rsidRPr="00D746D4">
        <w:rPr>
          <w:rFonts w:asciiTheme="majorBidi" w:hAnsiTheme="majorBidi" w:cstheme="majorBidi"/>
          <w:b/>
          <w:bCs/>
          <w:szCs w:val="24"/>
        </w:rPr>
        <w:t>BRI</w:t>
      </w:r>
      <w:r>
        <w:rPr>
          <w:rFonts w:asciiTheme="majorBidi" w:hAnsiTheme="majorBidi" w:cstheme="majorBidi"/>
          <w:szCs w:val="24"/>
        </w:rPr>
        <w:t> : Banque des Règlements Internationaux</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CFAT</w:t>
      </w:r>
      <w:r>
        <w:rPr>
          <w:rFonts w:asciiTheme="majorBidi" w:hAnsiTheme="majorBidi" w:cstheme="majorBidi"/>
          <w:szCs w:val="24"/>
        </w:rPr>
        <w:t> : Crédit Foncier de l’Algérie et de la Tunisie</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CMC</w:t>
      </w:r>
      <w:r w:rsidR="00530910">
        <w:rPr>
          <w:rFonts w:asciiTheme="majorBidi" w:hAnsiTheme="majorBidi" w:cstheme="majorBidi"/>
          <w:szCs w:val="24"/>
        </w:rPr>
        <w:t> : Conseil de</w:t>
      </w:r>
      <w:r>
        <w:rPr>
          <w:rFonts w:asciiTheme="majorBidi" w:hAnsiTheme="majorBidi" w:cstheme="majorBidi"/>
          <w:szCs w:val="24"/>
        </w:rPr>
        <w:t xml:space="preserve"> la Monnaie et le Crédit</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CNRC</w:t>
      </w:r>
      <w:r>
        <w:rPr>
          <w:rFonts w:asciiTheme="majorBidi" w:hAnsiTheme="majorBidi" w:cstheme="majorBidi"/>
          <w:szCs w:val="24"/>
        </w:rPr>
        <w:t> : Centre National du Registre de Commerce</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FBCF</w:t>
      </w:r>
      <w:r>
        <w:rPr>
          <w:rFonts w:asciiTheme="majorBidi" w:hAnsiTheme="majorBidi" w:cstheme="majorBidi"/>
          <w:szCs w:val="24"/>
        </w:rPr>
        <w:t> : Formation Brute du Capital Fixe</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FCP</w:t>
      </w:r>
      <w:r>
        <w:rPr>
          <w:rFonts w:asciiTheme="majorBidi" w:hAnsiTheme="majorBidi" w:cstheme="majorBidi"/>
          <w:szCs w:val="24"/>
        </w:rPr>
        <w:t> : Fonds Communs de Placements</w:t>
      </w:r>
    </w:p>
    <w:p w:rsidR="00BA7521" w:rsidRPr="009A55FB" w:rsidRDefault="00BA7521" w:rsidP="006141AD">
      <w:pPr>
        <w:rPr>
          <w:rFonts w:asciiTheme="majorBidi" w:hAnsiTheme="majorBidi" w:cstheme="majorBidi"/>
          <w:szCs w:val="24"/>
        </w:rPr>
      </w:pPr>
      <w:r w:rsidRPr="009A55FB">
        <w:rPr>
          <w:rFonts w:asciiTheme="majorBidi" w:hAnsiTheme="majorBidi" w:cstheme="majorBidi"/>
          <w:b/>
          <w:bCs/>
          <w:szCs w:val="24"/>
        </w:rPr>
        <w:t>FOREX</w:t>
      </w:r>
      <w:r w:rsidRPr="009A55FB">
        <w:rPr>
          <w:rFonts w:asciiTheme="majorBidi" w:hAnsiTheme="majorBidi" w:cstheme="majorBidi"/>
          <w:szCs w:val="24"/>
        </w:rPr>
        <w:t xml:space="preserve"> : </w:t>
      </w:r>
      <w:proofErr w:type="spellStart"/>
      <w:r w:rsidR="00530910">
        <w:rPr>
          <w:rFonts w:asciiTheme="majorBidi" w:hAnsiTheme="majorBidi" w:cstheme="majorBidi"/>
          <w:szCs w:val="24"/>
        </w:rPr>
        <w:t>Foreign</w:t>
      </w:r>
      <w:proofErr w:type="spellEnd"/>
      <w:r w:rsidR="00530910">
        <w:rPr>
          <w:rFonts w:asciiTheme="majorBidi" w:hAnsiTheme="majorBidi" w:cstheme="majorBidi"/>
          <w:szCs w:val="24"/>
        </w:rPr>
        <w:t xml:space="preserve"> Exchange</w:t>
      </w:r>
    </w:p>
    <w:p w:rsidR="00BA7521" w:rsidRPr="009A55FB" w:rsidRDefault="00BA7521" w:rsidP="009A55FB">
      <w:pPr>
        <w:rPr>
          <w:rFonts w:asciiTheme="majorBidi" w:hAnsiTheme="majorBidi" w:cstheme="majorBidi"/>
          <w:szCs w:val="24"/>
        </w:rPr>
      </w:pPr>
      <w:r w:rsidRPr="009A55FB">
        <w:rPr>
          <w:rFonts w:asciiTheme="majorBidi" w:hAnsiTheme="majorBidi" w:cstheme="majorBidi"/>
          <w:b/>
          <w:bCs/>
          <w:szCs w:val="24"/>
        </w:rPr>
        <w:t>IAS</w:t>
      </w:r>
      <w:r w:rsidRPr="009A55FB">
        <w:rPr>
          <w:rFonts w:asciiTheme="majorBidi" w:hAnsiTheme="majorBidi" w:cstheme="majorBidi"/>
          <w:szCs w:val="24"/>
        </w:rPr>
        <w:t xml:space="preserve"> : International </w:t>
      </w:r>
      <w:proofErr w:type="spellStart"/>
      <w:r w:rsidRPr="009A55FB">
        <w:rPr>
          <w:rFonts w:asciiTheme="majorBidi" w:hAnsiTheme="majorBidi" w:cstheme="majorBidi"/>
          <w:szCs w:val="24"/>
        </w:rPr>
        <w:t>Acconuting</w:t>
      </w:r>
      <w:proofErr w:type="spellEnd"/>
      <w:r w:rsidRPr="009A55FB">
        <w:rPr>
          <w:rFonts w:asciiTheme="majorBidi" w:hAnsiTheme="majorBidi" w:cstheme="majorBidi"/>
          <w:szCs w:val="24"/>
        </w:rPr>
        <w:t xml:space="preserve"> Standard</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LMC</w:t>
      </w:r>
      <w:r>
        <w:rPr>
          <w:rFonts w:asciiTheme="majorBidi" w:hAnsiTheme="majorBidi" w:cstheme="majorBidi"/>
          <w:szCs w:val="24"/>
        </w:rPr>
        <w:t> : Loi sur la Monnaie et le Crédit</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Mds DA</w:t>
      </w:r>
      <w:r>
        <w:rPr>
          <w:rFonts w:asciiTheme="majorBidi" w:hAnsiTheme="majorBidi" w:cstheme="majorBidi"/>
          <w:szCs w:val="24"/>
        </w:rPr>
        <w:t> : Milliards de Dinar</w:t>
      </w:r>
    </w:p>
    <w:p w:rsidR="00BA7521" w:rsidRDefault="00BA7521" w:rsidP="009A55FB">
      <w:pPr>
        <w:rPr>
          <w:rFonts w:asciiTheme="majorBidi" w:hAnsiTheme="majorBidi" w:cstheme="majorBidi"/>
          <w:szCs w:val="24"/>
        </w:rPr>
      </w:pPr>
      <w:r w:rsidRPr="00366DBF">
        <w:rPr>
          <w:rFonts w:asciiTheme="majorBidi" w:hAnsiTheme="majorBidi" w:cstheme="majorBidi"/>
          <w:b/>
          <w:bCs/>
          <w:szCs w:val="24"/>
        </w:rPr>
        <w:t>OMFP</w:t>
      </w:r>
      <w:r>
        <w:rPr>
          <w:rFonts w:asciiTheme="majorBidi" w:hAnsiTheme="majorBidi" w:cstheme="majorBidi"/>
          <w:szCs w:val="24"/>
        </w:rPr>
        <w:t xml:space="preserve"> : </w:t>
      </w:r>
      <w:r w:rsidRPr="00366DBF">
        <w:rPr>
          <w:rFonts w:cs="Times New Roman"/>
          <w:szCs w:val="24"/>
        </w:rPr>
        <w:t>Organisations Monétaires et Financières Internationales</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OPCVM</w:t>
      </w:r>
      <w:r>
        <w:rPr>
          <w:rFonts w:asciiTheme="majorBidi" w:hAnsiTheme="majorBidi" w:cstheme="majorBidi"/>
          <w:szCs w:val="24"/>
        </w:rPr>
        <w:t> : Organisme de Placements Collectifs en Valeurs Mobilières</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PIB</w:t>
      </w:r>
      <w:r w:rsidR="00530910">
        <w:rPr>
          <w:rFonts w:asciiTheme="majorBidi" w:hAnsiTheme="majorBidi" w:cstheme="majorBidi"/>
          <w:szCs w:val="24"/>
        </w:rPr>
        <w:t> : Produit Intérieur Brut</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PIBHH</w:t>
      </w:r>
      <w:r w:rsidR="00530910">
        <w:rPr>
          <w:rFonts w:asciiTheme="majorBidi" w:hAnsiTheme="majorBidi" w:cstheme="majorBidi"/>
          <w:szCs w:val="24"/>
        </w:rPr>
        <w:t> : Produit Intérieur Brut</w:t>
      </w:r>
      <w:r>
        <w:rPr>
          <w:rFonts w:asciiTheme="majorBidi" w:hAnsiTheme="majorBidi" w:cstheme="majorBidi"/>
          <w:szCs w:val="24"/>
        </w:rPr>
        <w:t xml:space="preserve"> Hors Hydrocarbures</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RS</w:t>
      </w:r>
      <w:r>
        <w:rPr>
          <w:rFonts w:asciiTheme="majorBidi" w:hAnsiTheme="majorBidi" w:cstheme="majorBidi"/>
          <w:szCs w:val="24"/>
        </w:rPr>
        <w:t> : Ratio de Solvabilité</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SICAV</w:t>
      </w:r>
      <w:r>
        <w:rPr>
          <w:rFonts w:asciiTheme="majorBidi" w:hAnsiTheme="majorBidi" w:cstheme="majorBidi"/>
          <w:szCs w:val="24"/>
        </w:rPr>
        <w:t> : Société d’Investissement à Capital Variable</w:t>
      </w:r>
    </w:p>
    <w:p w:rsidR="00BA7521" w:rsidRDefault="00BA7521" w:rsidP="009A55FB">
      <w:pPr>
        <w:rPr>
          <w:rFonts w:asciiTheme="majorBidi" w:hAnsiTheme="majorBidi" w:cstheme="majorBidi"/>
          <w:szCs w:val="24"/>
        </w:rPr>
      </w:pPr>
      <w:r w:rsidRPr="00161ABF">
        <w:rPr>
          <w:rFonts w:asciiTheme="majorBidi" w:hAnsiTheme="majorBidi" w:cstheme="majorBidi"/>
          <w:b/>
          <w:bCs/>
          <w:szCs w:val="24"/>
        </w:rPr>
        <w:t>SPA</w:t>
      </w:r>
      <w:r>
        <w:rPr>
          <w:rFonts w:asciiTheme="majorBidi" w:hAnsiTheme="majorBidi" w:cstheme="majorBidi"/>
          <w:szCs w:val="24"/>
        </w:rPr>
        <w:t> : Société Par Action</w:t>
      </w:r>
    </w:p>
    <w:p w:rsidR="005F1DED" w:rsidRDefault="005F1DED" w:rsidP="009A55FB">
      <w:pPr>
        <w:ind w:firstLine="0"/>
        <w:rPr>
          <w:rFonts w:ascii="Monotype Corsiva" w:hAnsi="Monotype Corsiva" w:cs="MonotypeCorsiva,Italic"/>
          <w:sz w:val="32"/>
          <w:szCs w:val="32"/>
        </w:rPr>
        <w:sectPr w:rsidR="005F1DED" w:rsidSect="001D03CE">
          <w:headerReference w:type="default" r:id="rId15"/>
          <w:type w:val="oddPage"/>
          <w:pgSz w:w="11906" w:h="16838"/>
          <w:pgMar w:top="1417" w:right="1417" w:bottom="1417" w:left="1417" w:header="708" w:footer="708" w:gutter="0"/>
          <w:cols w:space="708"/>
          <w:docGrid w:linePitch="360"/>
        </w:sectPr>
      </w:pPr>
    </w:p>
    <w:p w:rsidR="006517B5" w:rsidRPr="006517B5" w:rsidRDefault="006517B5" w:rsidP="006517B5">
      <w:pPr>
        <w:spacing w:before="0" w:after="200" w:line="276" w:lineRule="auto"/>
        <w:ind w:firstLine="0"/>
        <w:jc w:val="center"/>
        <w:rPr>
          <w:rFonts w:asciiTheme="majorBidi" w:eastAsiaTheme="minorHAnsi" w:hAnsiTheme="majorBidi" w:cstheme="majorBidi"/>
          <w:b/>
          <w:bCs/>
          <w:i/>
          <w:iCs/>
          <w:sz w:val="48"/>
          <w:szCs w:val="48"/>
          <w:lang w:eastAsia="en-US"/>
        </w:rPr>
      </w:pPr>
      <w:r w:rsidRPr="006517B5">
        <w:rPr>
          <w:rFonts w:asciiTheme="majorBidi" w:eastAsiaTheme="minorHAnsi" w:hAnsiTheme="majorBidi" w:cstheme="majorBidi"/>
          <w:b/>
          <w:bCs/>
          <w:i/>
          <w:iCs/>
          <w:sz w:val="48"/>
          <w:szCs w:val="48"/>
          <w:lang w:eastAsia="en-US"/>
        </w:rPr>
        <w:lastRenderedPageBreak/>
        <w:t>Sommaire</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szCs w:val="24"/>
          <w:lang w:eastAsia="en-US"/>
        </w:rPr>
        <w:t>INTRODUCTION GENERALE…………………………………………………………….7</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Introduction</w:t>
      </w:r>
      <w:r w:rsidRPr="006517B5">
        <w:rPr>
          <w:rFonts w:asciiTheme="majorBidi" w:eastAsiaTheme="minorHAnsi" w:hAnsiTheme="majorBidi" w:cstheme="majorBidi"/>
          <w:b/>
          <w:bCs/>
          <w:szCs w:val="24"/>
          <w:lang w:eastAsia="en-US"/>
        </w:rPr>
        <w:t xml:space="preserve">………………………………………………………………………………….11 </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szCs w:val="24"/>
          <w:lang w:eastAsia="en-US"/>
        </w:rPr>
        <w:t>CHAPITRE I : Présentation du Système Bancaire Algérien……………………………..11</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Section 01</w:t>
      </w:r>
      <w:r w:rsidRPr="006517B5">
        <w:rPr>
          <w:rFonts w:asciiTheme="majorBidi" w:eastAsiaTheme="minorHAnsi" w:hAnsiTheme="majorBidi" w:cstheme="majorBidi"/>
          <w:b/>
          <w:bCs/>
          <w:szCs w:val="24"/>
          <w:lang w:eastAsia="en-US"/>
        </w:rPr>
        <w:t> : Avant la loi 90/10 du 14 Avril 1990 relative à la monnaie et au crédit……..12</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Section 02</w:t>
      </w:r>
      <w:r w:rsidRPr="006517B5">
        <w:rPr>
          <w:rFonts w:asciiTheme="majorBidi" w:eastAsiaTheme="minorHAnsi" w:hAnsiTheme="majorBidi" w:cstheme="majorBidi"/>
          <w:b/>
          <w:bCs/>
          <w:szCs w:val="24"/>
          <w:lang w:eastAsia="en-US"/>
        </w:rPr>
        <w:t> : L’apport de la loi 90/10 et de l’ordonnance 03/11 du 26 Août 2003………..27</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Conclusion</w:t>
      </w:r>
      <w:r w:rsidRPr="006517B5">
        <w:rPr>
          <w:rFonts w:asciiTheme="majorBidi" w:eastAsiaTheme="minorHAnsi" w:hAnsiTheme="majorBidi" w:cstheme="majorBidi"/>
          <w:b/>
          <w:bCs/>
          <w:szCs w:val="24"/>
          <w:lang w:eastAsia="en-US"/>
        </w:rPr>
        <w:t>…………………………………………………………………………………... 34</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szCs w:val="24"/>
          <w:lang w:eastAsia="en-US"/>
        </w:rPr>
        <w:t>CHAPITRE II : Indicateurs, caractéristiques et conséquences de la surliquidité bancaire en Algérie…………………………………………………………………………………….35</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Introduction</w:t>
      </w:r>
      <w:proofErr w:type="gramStart"/>
      <w:r w:rsidRPr="006517B5">
        <w:rPr>
          <w:rFonts w:asciiTheme="majorBidi" w:eastAsiaTheme="minorHAnsi" w:hAnsiTheme="majorBidi" w:cstheme="majorBidi"/>
          <w:b/>
          <w:bCs/>
          <w:szCs w:val="24"/>
          <w:lang w:eastAsia="en-US"/>
        </w:rPr>
        <w:t>……….……………………………………….………………………...............</w:t>
      </w:r>
      <w:proofErr w:type="gramEnd"/>
      <w:r w:rsidRPr="006517B5">
        <w:rPr>
          <w:rFonts w:asciiTheme="majorBidi" w:eastAsiaTheme="minorHAnsi" w:hAnsiTheme="majorBidi" w:cstheme="majorBidi"/>
          <w:b/>
          <w:bCs/>
          <w:szCs w:val="24"/>
          <w:lang w:eastAsia="en-US"/>
        </w:rPr>
        <w:t>35</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Section 01</w:t>
      </w:r>
      <w:r w:rsidRPr="006517B5">
        <w:rPr>
          <w:rFonts w:asciiTheme="majorBidi" w:eastAsiaTheme="minorHAnsi" w:hAnsiTheme="majorBidi" w:cstheme="majorBidi"/>
          <w:b/>
          <w:bCs/>
          <w:szCs w:val="24"/>
          <w:lang w:eastAsia="en-US"/>
        </w:rPr>
        <w:t> : Les indicateurs de la surliquidité bancaire………………………………….36</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Section 02</w:t>
      </w:r>
      <w:r w:rsidRPr="006517B5">
        <w:rPr>
          <w:rFonts w:asciiTheme="majorBidi" w:eastAsiaTheme="minorHAnsi" w:hAnsiTheme="majorBidi" w:cstheme="majorBidi"/>
          <w:b/>
          <w:bCs/>
          <w:szCs w:val="24"/>
          <w:lang w:eastAsia="en-US"/>
        </w:rPr>
        <w:t> : Caractéristiques et conséquences de la surliquidité bancaire en Algérie….51</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Conclusion</w:t>
      </w:r>
      <w:r w:rsidRPr="006517B5">
        <w:rPr>
          <w:rFonts w:asciiTheme="majorBidi" w:eastAsiaTheme="minorHAnsi" w:hAnsiTheme="majorBidi" w:cstheme="majorBidi"/>
          <w:b/>
          <w:bCs/>
          <w:szCs w:val="24"/>
          <w:lang w:eastAsia="en-US"/>
        </w:rPr>
        <w:t>…………………………………………………………………………………..56</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szCs w:val="24"/>
          <w:lang w:eastAsia="en-US"/>
        </w:rPr>
        <w:t>CHAPITRE III : Les facteurs de la surliquidité bancaire en Algérie et les méthodes de sa gestion…………………………………………………………………………………….57</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Introduction</w:t>
      </w:r>
      <w:r w:rsidRPr="006517B5">
        <w:rPr>
          <w:rFonts w:asciiTheme="majorBidi" w:eastAsiaTheme="minorHAnsi" w:hAnsiTheme="majorBidi" w:cstheme="majorBidi"/>
          <w:b/>
          <w:bCs/>
          <w:szCs w:val="24"/>
          <w:lang w:eastAsia="en-US"/>
        </w:rPr>
        <w:t>………………………………………………………………………………....57</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Section 01</w:t>
      </w:r>
      <w:r w:rsidRPr="006517B5">
        <w:rPr>
          <w:rFonts w:asciiTheme="majorBidi" w:eastAsiaTheme="minorHAnsi" w:hAnsiTheme="majorBidi" w:cstheme="majorBidi"/>
          <w:b/>
          <w:bCs/>
          <w:szCs w:val="24"/>
          <w:lang w:eastAsia="en-US"/>
        </w:rPr>
        <w:t> : Les principaux facteurs de la surliquidité bancaire en Algérie…………...58</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Section 02</w:t>
      </w:r>
      <w:r w:rsidRPr="006517B5">
        <w:rPr>
          <w:rFonts w:asciiTheme="majorBidi" w:eastAsiaTheme="minorHAnsi" w:hAnsiTheme="majorBidi" w:cstheme="majorBidi"/>
          <w:b/>
          <w:bCs/>
          <w:szCs w:val="24"/>
          <w:lang w:eastAsia="en-US"/>
        </w:rPr>
        <w:t> : Les mesures de gestion de la surliquidité bancaire en Algérie…………….67</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i/>
          <w:iCs/>
          <w:szCs w:val="24"/>
          <w:lang w:eastAsia="en-US"/>
        </w:rPr>
        <w:t>Conclusion</w:t>
      </w:r>
      <w:r w:rsidRPr="006517B5">
        <w:rPr>
          <w:rFonts w:asciiTheme="majorBidi" w:eastAsiaTheme="minorHAnsi" w:hAnsiTheme="majorBidi" w:cstheme="majorBidi"/>
          <w:b/>
          <w:bCs/>
          <w:szCs w:val="24"/>
          <w:lang w:eastAsia="en-US"/>
        </w:rPr>
        <w:t>…………………………………………………………………………………..74</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szCs w:val="24"/>
          <w:lang w:eastAsia="en-US"/>
        </w:rPr>
        <w:t>Conclusion générale…………………………………………………………………………75</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szCs w:val="24"/>
          <w:lang w:eastAsia="en-US"/>
        </w:rPr>
        <w:t>Liste des graphes……………………………………………………………………………88</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szCs w:val="24"/>
          <w:lang w:eastAsia="en-US"/>
        </w:rPr>
        <w:t>Liste des tableaux…………………………………………………………………………...89</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szCs w:val="24"/>
          <w:lang w:eastAsia="en-US"/>
        </w:rPr>
        <w:t>Liste des annexes……………………………………………………………………………90</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r w:rsidRPr="006517B5">
        <w:rPr>
          <w:rFonts w:asciiTheme="majorBidi" w:eastAsiaTheme="minorHAnsi" w:hAnsiTheme="majorBidi" w:cstheme="majorBidi"/>
          <w:b/>
          <w:bCs/>
          <w:szCs w:val="24"/>
          <w:lang w:eastAsia="en-US"/>
        </w:rPr>
        <w:t>Bibliographie………………………………………………………………………………..91</w:t>
      </w:r>
    </w:p>
    <w:p w:rsidR="006517B5" w:rsidRPr="006517B5" w:rsidRDefault="006517B5" w:rsidP="006517B5">
      <w:pPr>
        <w:spacing w:before="0" w:after="200" w:line="276" w:lineRule="auto"/>
        <w:ind w:firstLine="0"/>
        <w:rPr>
          <w:rFonts w:asciiTheme="majorBidi" w:eastAsiaTheme="minorHAnsi" w:hAnsiTheme="majorBidi" w:cstheme="majorBidi"/>
          <w:b/>
          <w:bCs/>
          <w:szCs w:val="24"/>
          <w:lang w:eastAsia="en-US"/>
        </w:rPr>
      </w:pPr>
    </w:p>
    <w:p w:rsidR="00D602DA" w:rsidRPr="000B12E4" w:rsidRDefault="00D602DA" w:rsidP="00D602DA">
      <w:pPr>
        <w:ind w:firstLine="0"/>
        <w:rPr>
          <w:rFonts w:asciiTheme="majorBidi" w:hAnsiTheme="majorBidi" w:cstheme="majorBidi"/>
          <w:szCs w:val="24"/>
        </w:rPr>
        <w:sectPr w:rsidR="00D602DA" w:rsidRPr="000B12E4" w:rsidSect="00BC0DD4">
          <w:headerReference w:type="default" r:id="rId16"/>
          <w:footerReference w:type="default" r:id="rId17"/>
          <w:pgSz w:w="11906" w:h="16838"/>
          <w:pgMar w:top="1417" w:right="1417" w:bottom="1417" w:left="1417" w:header="708" w:footer="708" w:gutter="0"/>
          <w:pgNumType w:start="1"/>
          <w:cols w:space="708"/>
          <w:docGrid w:linePitch="360"/>
        </w:sectPr>
      </w:pPr>
    </w:p>
    <w:p w:rsidR="00EC2073" w:rsidRPr="00984D00" w:rsidRDefault="00EC2073" w:rsidP="00984D00">
      <w:pPr>
        <w:pStyle w:val="Titre1"/>
      </w:pPr>
      <w:bookmarkStart w:id="0" w:name="_Toc431979959"/>
      <w:r w:rsidRPr="00984D00">
        <w:lastRenderedPageBreak/>
        <w:t>Introduction générale</w:t>
      </w:r>
      <w:bookmarkEnd w:id="0"/>
    </w:p>
    <w:p w:rsidR="00591DE5" w:rsidRDefault="00EC2073" w:rsidP="00B55202">
      <w:pPr>
        <w:rPr>
          <w:rFonts w:cs="Times New Roman"/>
          <w:szCs w:val="24"/>
        </w:rPr>
      </w:pPr>
      <w:r w:rsidRPr="003379E7">
        <w:rPr>
          <w:rFonts w:cs="Times New Roman"/>
          <w:szCs w:val="24"/>
        </w:rPr>
        <w:t xml:space="preserve">Le </w:t>
      </w:r>
      <w:r>
        <w:rPr>
          <w:rFonts w:cs="Times New Roman"/>
          <w:szCs w:val="24"/>
        </w:rPr>
        <w:t>système bancaire est l’un des éléments centraux d</w:t>
      </w:r>
      <w:r w:rsidR="00380CD9">
        <w:rPr>
          <w:rFonts w:cs="Times New Roman"/>
          <w:szCs w:val="24"/>
        </w:rPr>
        <w:t>ans l’économie</w:t>
      </w:r>
      <w:r w:rsidR="00471A90">
        <w:rPr>
          <w:rFonts w:cs="Times New Roman"/>
          <w:szCs w:val="24"/>
        </w:rPr>
        <w:t xml:space="preserve"> d’un pays</w:t>
      </w:r>
      <w:r w:rsidR="00D9003E">
        <w:rPr>
          <w:rStyle w:val="Appelnotedebasdep"/>
          <w:rFonts w:cs="Times New Roman"/>
          <w:szCs w:val="24"/>
        </w:rPr>
        <w:footnoteReference w:id="1"/>
      </w:r>
      <w:r w:rsidR="00471A90">
        <w:rPr>
          <w:rFonts w:cs="Times New Roman"/>
          <w:szCs w:val="24"/>
        </w:rPr>
        <w:t>. La</w:t>
      </w:r>
      <w:r>
        <w:rPr>
          <w:rFonts w:cs="Times New Roman"/>
          <w:szCs w:val="24"/>
        </w:rPr>
        <w:t xml:space="preserve"> banque</w:t>
      </w:r>
      <w:r w:rsidR="00471A90">
        <w:rPr>
          <w:rFonts w:cs="Times New Roman"/>
          <w:szCs w:val="24"/>
        </w:rPr>
        <w:t xml:space="preserve"> joue</w:t>
      </w:r>
      <w:r>
        <w:rPr>
          <w:rFonts w:cs="Times New Roman"/>
          <w:szCs w:val="24"/>
        </w:rPr>
        <w:t xml:space="preserve"> un rôle majeur dans la vie quotidienne</w:t>
      </w:r>
      <w:r w:rsidR="00380CD9">
        <w:rPr>
          <w:rFonts w:cs="Times New Roman"/>
          <w:szCs w:val="24"/>
        </w:rPr>
        <w:t xml:space="preserve"> des agents économiques, et compte tenu </w:t>
      </w:r>
      <w:r w:rsidR="00471A90">
        <w:rPr>
          <w:rFonts w:cs="Times New Roman"/>
          <w:szCs w:val="24"/>
        </w:rPr>
        <w:t xml:space="preserve">de </w:t>
      </w:r>
      <w:r w:rsidR="006B1729">
        <w:rPr>
          <w:rFonts w:cs="Times New Roman"/>
          <w:szCs w:val="24"/>
        </w:rPr>
        <w:t>sa tâche</w:t>
      </w:r>
      <w:r>
        <w:rPr>
          <w:rFonts w:cs="Times New Roman"/>
          <w:szCs w:val="24"/>
        </w:rPr>
        <w:t xml:space="preserve"> traditionne</w:t>
      </w:r>
      <w:r w:rsidR="006B1729">
        <w:rPr>
          <w:rFonts w:cs="Times New Roman"/>
          <w:szCs w:val="24"/>
        </w:rPr>
        <w:t>l</w:t>
      </w:r>
      <w:r>
        <w:rPr>
          <w:rFonts w:cs="Times New Roman"/>
          <w:szCs w:val="24"/>
        </w:rPr>
        <w:t>l</w:t>
      </w:r>
      <w:r w:rsidR="006B1729">
        <w:rPr>
          <w:rFonts w:cs="Times New Roman"/>
          <w:szCs w:val="24"/>
        </w:rPr>
        <w:t>e</w:t>
      </w:r>
      <w:r>
        <w:rPr>
          <w:rFonts w:cs="Times New Roman"/>
          <w:szCs w:val="24"/>
        </w:rPr>
        <w:t xml:space="preserve"> (collecte de dépôts et octroi de crédit</w:t>
      </w:r>
      <w:r w:rsidR="00471A90">
        <w:rPr>
          <w:rFonts w:cs="Times New Roman"/>
          <w:szCs w:val="24"/>
        </w:rPr>
        <w:t xml:space="preserve">), elle doit </w:t>
      </w:r>
      <w:r w:rsidR="00B55202">
        <w:rPr>
          <w:rFonts w:cs="Times New Roman"/>
          <w:szCs w:val="24"/>
        </w:rPr>
        <w:t>garantir</w:t>
      </w:r>
      <w:r w:rsidR="00B22FA3">
        <w:rPr>
          <w:rFonts w:cs="Times New Roman"/>
          <w:szCs w:val="24"/>
        </w:rPr>
        <w:t xml:space="preserve"> </w:t>
      </w:r>
      <w:r w:rsidR="00B55202">
        <w:rPr>
          <w:rFonts w:cs="Times New Roman"/>
          <w:szCs w:val="24"/>
        </w:rPr>
        <w:t>la capacité de couvrir</w:t>
      </w:r>
      <w:r w:rsidR="006B1729">
        <w:rPr>
          <w:rFonts w:cs="Times New Roman"/>
          <w:szCs w:val="24"/>
        </w:rPr>
        <w:t xml:space="preserve"> ses engagements vis-à-vis de ses créanciers et d’exercer ses activités sans avoir recourt à l’emprunt. Pour cela, elle </w:t>
      </w:r>
      <w:r w:rsidR="00B55202">
        <w:rPr>
          <w:rFonts w:cs="Times New Roman"/>
          <w:szCs w:val="24"/>
        </w:rPr>
        <w:t xml:space="preserve">est dans l’obligation </w:t>
      </w:r>
      <w:r w:rsidR="00011818">
        <w:rPr>
          <w:rFonts w:cs="Times New Roman"/>
          <w:szCs w:val="24"/>
        </w:rPr>
        <w:t>de maitriser</w:t>
      </w:r>
      <w:r w:rsidR="006B1729">
        <w:rPr>
          <w:rFonts w:cs="Times New Roman"/>
          <w:szCs w:val="24"/>
        </w:rPr>
        <w:t xml:space="preserve"> la gestion de sa liquidité</w:t>
      </w:r>
      <w:r w:rsidR="00591DE5">
        <w:rPr>
          <w:rFonts w:cs="Times New Roman"/>
          <w:szCs w:val="24"/>
        </w:rPr>
        <w:t xml:space="preserve"> qui </w:t>
      </w:r>
      <w:r w:rsidR="0090608A">
        <w:rPr>
          <w:rFonts w:cs="Times New Roman"/>
          <w:szCs w:val="24"/>
        </w:rPr>
        <w:t xml:space="preserve">consiste </w:t>
      </w:r>
      <w:r w:rsidR="00591DE5">
        <w:rPr>
          <w:rFonts w:cs="Times New Roman"/>
          <w:szCs w:val="24"/>
        </w:rPr>
        <w:t xml:space="preserve">en une organisation du mouvement de fonds de </w:t>
      </w:r>
      <w:r w:rsidR="00157468">
        <w:rPr>
          <w:rFonts w:cs="Times New Roman"/>
          <w:szCs w:val="24"/>
        </w:rPr>
        <w:t>telle</w:t>
      </w:r>
      <w:r w:rsidR="00591DE5">
        <w:rPr>
          <w:rFonts w:cs="Times New Roman"/>
          <w:szCs w:val="24"/>
        </w:rPr>
        <w:t xml:space="preserve"> façon à assurer l’équilibre et mieux prévoir les risques. </w:t>
      </w:r>
    </w:p>
    <w:p w:rsidR="00EC2073" w:rsidRDefault="00157468" w:rsidP="002D396D">
      <w:pPr>
        <w:rPr>
          <w:rFonts w:cs="Times New Roman"/>
          <w:szCs w:val="24"/>
        </w:rPr>
      </w:pPr>
      <w:r>
        <w:rPr>
          <w:rFonts w:cs="Times New Roman"/>
          <w:szCs w:val="24"/>
        </w:rPr>
        <w:t>En revanche</w:t>
      </w:r>
      <w:r w:rsidR="00591DE5">
        <w:rPr>
          <w:rFonts w:cs="Times New Roman"/>
          <w:szCs w:val="24"/>
        </w:rPr>
        <w:t>, dans le cas où les banques connaissent un excès de liquidité</w:t>
      </w:r>
      <w:r w:rsidR="00E407A7">
        <w:rPr>
          <w:rFonts w:cs="Times New Roman"/>
          <w:szCs w:val="24"/>
        </w:rPr>
        <w:t>, elles n’auront plus besoin de recourir à d’autres sources de financements, mais elles</w:t>
      </w:r>
      <w:r w:rsidR="00B55202">
        <w:rPr>
          <w:rFonts w:cs="Times New Roman"/>
          <w:szCs w:val="24"/>
        </w:rPr>
        <w:t xml:space="preserve"> se retrouvent dans le devoir</w:t>
      </w:r>
      <w:r w:rsidR="00E407A7">
        <w:rPr>
          <w:rFonts w:cs="Times New Roman"/>
          <w:szCs w:val="24"/>
        </w:rPr>
        <w:t xml:space="preserve"> de gérer cette surliquidité par l’int</w:t>
      </w:r>
      <w:r w:rsidR="0090608A">
        <w:rPr>
          <w:rFonts w:cs="Times New Roman"/>
          <w:szCs w:val="24"/>
        </w:rPr>
        <w:t xml:space="preserve">ervention de la Banque Centrale, afin de conserver le bon fonctionnement de l’économie et assurer son </w:t>
      </w:r>
      <w:r w:rsidR="002D396D">
        <w:rPr>
          <w:rFonts w:cs="Times New Roman"/>
          <w:szCs w:val="24"/>
        </w:rPr>
        <w:t>développement</w:t>
      </w:r>
      <w:r w:rsidR="0090608A">
        <w:rPr>
          <w:rFonts w:cs="Times New Roman"/>
          <w:szCs w:val="24"/>
        </w:rPr>
        <w:t xml:space="preserve">. </w:t>
      </w:r>
    </w:p>
    <w:p w:rsidR="00591DE5" w:rsidRDefault="0090608A" w:rsidP="00157468">
      <w:pPr>
        <w:rPr>
          <w:rFonts w:cs="Times New Roman"/>
          <w:szCs w:val="24"/>
        </w:rPr>
      </w:pPr>
      <w:r>
        <w:rPr>
          <w:rFonts w:cs="Times New Roman"/>
          <w:szCs w:val="24"/>
        </w:rPr>
        <w:t xml:space="preserve">Depuis l’indépendance, </w:t>
      </w:r>
      <w:r w:rsidR="00EC2073">
        <w:rPr>
          <w:rFonts w:cs="Times New Roman"/>
          <w:szCs w:val="24"/>
        </w:rPr>
        <w:t>l’</w:t>
      </w:r>
      <w:r>
        <w:rPr>
          <w:rFonts w:cs="Times New Roman"/>
          <w:szCs w:val="24"/>
        </w:rPr>
        <w:t>Algérie lance</w:t>
      </w:r>
      <w:r w:rsidR="00EC2073">
        <w:rPr>
          <w:rFonts w:cs="Times New Roman"/>
          <w:szCs w:val="24"/>
        </w:rPr>
        <w:t xml:space="preserve"> de grands projets économiques pour mettre en place une assise industrielle dense. </w:t>
      </w:r>
      <w:r w:rsidR="00157468">
        <w:rPr>
          <w:rFonts w:cs="Times New Roman"/>
          <w:szCs w:val="24"/>
        </w:rPr>
        <w:t>Cependant</w:t>
      </w:r>
      <w:r w:rsidR="00EC2073">
        <w:rPr>
          <w:rFonts w:cs="Times New Roman"/>
          <w:szCs w:val="24"/>
        </w:rPr>
        <w:t xml:space="preserve">, en dépit de ceux qui ont été réalisé (autoroutes, métros, universités) ; l’économie passant par divers stades de turbulences, n’arrive toujours pas à trouver ses </w:t>
      </w:r>
      <w:r w:rsidR="00591DE5">
        <w:rPr>
          <w:rFonts w:cs="Times New Roman"/>
          <w:szCs w:val="24"/>
        </w:rPr>
        <w:t>repères.</w:t>
      </w:r>
    </w:p>
    <w:p w:rsidR="00EC2073" w:rsidRDefault="00EC2073" w:rsidP="0090608A">
      <w:pPr>
        <w:rPr>
          <w:rFonts w:cs="Times New Roman"/>
          <w:szCs w:val="24"/>
        </w:rPr>
      </w:pPr>
      <w:r>
        <w:rPr>
          <w:rFonts w:cs="Times New Roman"/>
          <w:szCs w:val="24"/>
        </w:rPr>
        <w:t xml:space="preserve">Dans les années </w:t>
      </w:r>
      <w:r w:rsidR="00155AF3">
        <w:rPr>
          <w:rFonts w:cs="Times New Roman"/>
          <w:szCs w:val="24"/>
        </w:rPr>
        <w:t>19</w:t>
      </w:r>
      <w:r>
        <w:rPr>
          <w:rFonts w:cs="Times New Roman"/>
          <w:szCs w:val="24"/>
        </w:rPr>
        <w:t xml:space="preserve">80, </w:t>
      </w:r>
      <w:r w:rsidR="0090608A">
        <w:rPr>
          <w:rFonts w:cs="Times New Roman"/>
          <w:szCs w:val="24"/>
        </w:rPr>
        <w:t>le système bancaire</w:t>
      </w:r>
      <w:r>
        <w:rPr>
          <w:rFonts w:cs="Times New Roman"/>
          <w:szCs w:val="24"/>
        </w:rPr>
        <w:t xml:space="preserve"> a connu des difficultés importantes, notamment suite au choc pétrolier de 1986. Ce dernier a provoqué un coup dur à une économie quasiment rentière, impliquant une période de mise en place de plans anti-pénurie et de stabilisation. Au début des années </w:t>
      </w:r>
      <w:r w:rsidR="00155AF3">
        <w:rPr>
          <w:rFonts w:cs="Times New Roman"/>
          <w:szCs w:val="24"/>
        </w:rPr>
        <w:t>19</w:t>
      </w:r>
      <w:r>
        <w:rPr>
          <w:rFonts w:cs="Times New Roman"/>
          <w:szCs w:val="24"/>
        </w:rPr>
        <w:t>90, l’Algérie a engagé des réformes structurelles concrétisant ainsi le passage à une économie de marché.</w:t>
      </w:r>
    </w:p>
    <w:p w:rsidR="00EC2073" w:rsidRDefault="00EC2073" w:rsidP="0090608A">
      <w:pPr>
        <w:rPr>
          <w:rFonts w:cs="Times New Roman"/>
          <w:szCs w:val="24"/>
        </w:rPr>
      </w:pPr>
      <w:r>
        <w:rPr>
          <w:rFonts w:cs="Times New Roman"/>
          <w:szCs w:val="24"/>
        </w:rPr>
        <w:t xml:space="preserve">A partir de la décennie 2000, la situation monétaire </w:t>
      </w:r>
      <w:r w:rsidR="0090608A">
        <w:rPr>
          <w:rFonts w:cs="Times New Roman"/>
          <w:szCs w:val="24"/>
        </w:rPr>
        <w:t xml:space="preserve">est </w:t>
      </w:r>
      <w:r>
        <w:rPr>
          <w:rFonts w:cs="Times New Roman"/>
          <w:szCs w:val="24"/>
        </w:rPr>
        <w:t xml:space="preserve">caractérisée par l’abondance de liquidité qui se chiffre à </w:t>
      </w:r>
      <w:r w:rsidR="00157468">
        <w:rPr>
          <w:rFonts w:cs="Times New Roman"/>
          <w:szCs w:val="24"/>
        </w:rPr>
        <w:t xml:space="preserve">environ </w:t>
      </w:r>
      <w:r>
        <w:rPr>
          <w:rFonts w:cs="Times New Roman"/>
          <w:szCs w:val="24"/>
        </w:rPr>
        <w:t>1350 milliards de Dinars en Avril 2014</w:t>
      </w:r>
      <w:r w:rsidR="00225E5C">
        <w:rPr>
          <w:rStyle w:val="Appelnotedebasdep"/>
          <w:rFonts w:cs="Times New Roman"/>
          <w:szCs w:val="24"/>
        </w:rPr>
        <w:footnoteReference w:id="2"/>
      </w:r>
      <w:r>
        <w:rPr>
          <w:rFonts w:cs="Times New Roman"/>
          <w:szCs w:val="24"/>
        </w:rPr>
        <w:t>.</w:t>
      </w:r>
    </w:p>
    <w:p w:rsidR="00EC2073" w:rsidRDefault="00EC2073" w:rsidP="00EC2073">
      <w:pPr>
        <w:ind w:firstLine="708"/>
        <w:rPr>
          <w:rFonts w:cs="Times New Roman"/>
          <w:szCs w:val="24"/>
        </w:rPr>
      </w:pPr>
      <w:r>
        <w:rPr>
          <w:rFonts w:cs="Times New Roman"/>
          <w:szCs w:val="24"/>
        </w:rPr>
        <w:t>En effet, dans un contexte d’évolution macroéconomique caractérisé par un excès de liquidité notamment depuis 2002, l’économie algérienne est marquée par une position financière solide, qui se traduit par la viabilité de la balance de paiement, la réduction de la dette extérieure, l’amélioration de la situation des finances publiques et de la</w:t>
      </w:r>
      <w:r w:rsidR="0090608A">
        <w:rPr>
          <w:rFonts w:cs="Times New Roman"/>
          <w:szCs w:val="24"/>
        </w:rPr>
        <w:t xml:space="preserve"> liquidité bancaire</w:t>
      </w:r>
      <w:r>
        <w:rPr>
          <w:rFonts w:cs="Times New Roman"/>
          <w:szCs w:val="24"/>
        </w:rPr>
        <w:t xml:space="preserve"> et un faible niveau d’inflation. </w:t>
      </w:r>
    </w:p>
    <w:p w:rsidR="00EC2073" w:rsidRDefault="00530910" w:rsidP="00BC0DD4">
      <w:pPr>
        <w:ind w:firstLine="0"/>
        <w:rPr>
          <w:rFonts w:cs="Times New Roman"/>
          <w:b/>
          <w:bCs/>
          <w:szCs w:val="24"/>
        </w:rPr>
      </w:pPr>
      <w:r>
        <w:rPr>
          <w:rFonts w:cs="Times New Roman"/>
          <w:b/>
          <w:bCs/>
          <w:szCs w:val="24"/>
        </w:rPr>
        <w:lastRenderedPageBreak/>
        <w:t>L’objet de la recherche </w:t>
      </w:r>
    </w:p>
    <w:p w:rsidR="00EC2073" w:rsidRDefault="00EC2073" w:rsidP="0090608A">
      <w:pPr>
        <w:rPr>
          <w:rFonts w:cs="Times New Roman"/>
          <w:szCs w:val="24"/>
        </w:rPr>
      </w:pPr>
      <w:r>
        <w:rPr>
          <w:rFonts w:cs="Times New Roman"/>
          <w:szCs w:val="24"/>
        </w:rPr>
        <w:t xml:space="preserve">Nous avons mené un travail de recherche sur l’excèdent de liquidité des banques en Algérie, </w:t>
      </w:r>
      <w:r w:rsidR="0090608A">
        <w:rPr>
          <w:rFonts w:cs="Times New Roman"/>
          <w:szCs w:val="24"/>
        </w:rPr>
        <w:t>dans l’</w:t>
      </w:r>
      <w:r>
        <w:rPr>
          <w:rFonts w:cs="Times New Roman"/>
          <w:szCs w:val="24"/>
        </w:rPr>
        <w:t xml:space="preserve">optique </w:t>
      </w:r>
      <w:r w:rsidR="0090608A">
        <w:rPr>
          <w:rFonts w:cs="Times New Roman"/>
          <w:szCs w:val="24"/>
        </w:rPr>
        <w:t>d’</w:t>
      </w:r>
      <w:r>
        <w:rPr>
          <w:rFonts w:cs="Times New Roman"/>
          <w:szCs w:val="24"/>
        </w:rPr>
        <w:t xml:space="preserve">expliquer </w:t>
      </w:r>
      <w:r w:rsidR="00697A6C">
        <w:rPr>
          <w:rFonts w:cs="Times New Roman"/>
          <w:szCs w:val="24"/>
        </w:rPr>
        <w:t xml:space="preserve">l’origine de </w:t>
      </w:r>
      <w:r>
        <w:rPr>
          <w:rFonts w:cs="Times New Roman"/>
          <w:szCs w:val="24"/>
        </w:rPr>
        <w:t>cette situation pendant la dernière décennie, jusqu’à la fin de l’année 2014, et la réaction des autorités monétaires face à ce phénomène.</w:t>
      </w:r>
    </w:p>
    <w:p w:rsidR="00EC2073" w:rsidRDefault="00EC2073" w:rsidP="00697A6C">
      <w:pPr>
        <w:rPr>
          <w:rFonts w:cs="Times New Roman"/>
          <w:szCs w:val="24"/>
        </w:rPr>
      </w:pPr>
      <w:r>
        <w:rPr>
          <w:rFonts w:cs="Times New Roman"/>
          <w:szCs w:val="24"/>
        </w:rPr>
        <w:t xml:space="preserve">Dans </w:t>
      </w:r>
      <w:r w:rsidR="00697A6C">
        <w:rPr>
          <w:rFonts w:cs="Times New Roman"/>
          <w:szCs w:val="24"/>
        </w:rPr>
        <w:t>un volet</w:t>
      </w:r>
      <w:r>
        <w:rPr>
          <w:rFonts w:cs="Times New Roman"/>
          <w:szCs w:val="24"/>
        </w:rPr>
        <w:t xml:space="preserve"> plus spécifique, notre travail vise les deux objectifs suivants :</w:t>
      </w:r>
    </w:p>
    <w:p w:rsidR="00EC2073" w:rsidRDefault="00697A6C" w:rsidP="00D95740">
      <w:pPr>
        <w:pStyle w:val="Paragraphedeliste"/>
        <w:numPr>
          <w:ilvl w:val="0"/>
          <w:numId w:val="16"/>
        </w:numPr>
        <w:spacing w:before="0" w:after="200"/>
        <w:rPr>
          <w:rFonts w:cs="Times New Roman"/>
          <w:szCs w:val="24"/>
        </w:rPr>
      </w:pPr>
      <w:r>
        <w:rPr>
          <w:rFonts w:cs="Times New Roman"/>
          <w:szCs w:val="24"/>
        </w:rPr>
        <w:t xml:space="preserve">Confirmer </w:t>
      </w:r>
      <w:r w:rsidR="00EC2073">
        <w:rPr>
          <w:rFonts w:cs="Times New Roman"/>
          <w:szCs w:val="24"/>
        </w:rPr>
        <w:t xml:space="preserve"> l’existence d’un surplus d’argent dans les banques algériennes, largement supérieur à ce qui est im</w:t>
      </w:r>
      <w:r w:rsidR="00530910">
        <w:rPr>
          <w:rFonts w:cs="Times New Roman"/>
          <w:szCs w:val="24"/>
        </w:rPr>
        <w:t>posé par les ratios prudentiels ;</w:t>
      </w:r>
    </w:p>
    <w:p w:rsidR="00EC2073" w:rsidRDefault="00EC2073" w:rsidP="00D95740">
      <w:pPr>
        <w:pStyle w:val="Paragraphedeliste"/>
        <w:numPr>
          <w:ilvl w:val="0"/>
          <w:numId w:val="16"/>
        </w:numPr>
        <w:spacing w:before="0" w:after="200"/>
        <w:rPr>
          <w:rFonts w:cs="Times New Roman"/>
          <w:szCs w:val="24"/>
        </w:rPr>
      </w:pPr>
      <w:r>
        <w:rPr>
          <w:rFonts w:cs="Times New Roman"/>
          <w:szCs w:val="24"/>
        </w:rPr>
        <w:t>Savoir comment un pays, dont la rente principale est constituée par celle des hydrocarbures, arrive à en</w:t>
      </w:r>
      <w:r w:rsidR="00697A6C">
        <w:rPr>
          <w:rFonts w:cs="Times New Roman"/>
          <w:szCs w:val="24"/>
        </w:rPr>
        <w:t>registrer</w:t>
      </w:r>
      <w:r w:rsidR="00530910">
        <w:rPr>
          <w:rFonts w:cs="Times New Roman"/>
          <w:szCs w:val="24"/>
        </w:rPr>
        <w:t xml:space="preserve"> un excès de liquidité.</w:t>
      </w:r>
    </w:p>
    <w:p w:rsidR="00EC2073" w:rsidRPr="00DB3F46" w:rsidRDefault="00530910" w:rsidP="00BC0DD4">
      <w:pPr>
        <w:ind w:firstLine="0"/>
        <w:rPr>
          <w:rFonts w:cs="Times New Roman"/>
          <w:b/>
          <w:bCs/>
          <w:szCs w:val="24"/>
        </w:rPr>
      </w:pPr>
      <w:r>
        <w:rPr>
          <w:rFonts w:cs="Times New Roman"/>
          <w:b/>
          <w:bCs/>
          <w:szCs w:val="24"/>
        </w:rPr>
        <w:t>Intérêt et choix du thème </w:t>
      </w:r>
    </w:p>
    <w:p w:rsidR="00EC2073" w:rsidRDefault="00EC2073" w:rsidP="00EC2073">
      <w:pPr>
        <w:ind w:firstLine="360"/>
        <w:rPr>
          <w:rFonts w:cs="Times New Roman"/>
          <w:szCs w:val="24"/>
        </w:rPr>
      </w:pPr>
      <w:r>
        <w:rPr>
          <w:rFonts w:cs="Times New Roman"/>
          <w:szCs w:val="24"/>
        </w:rPr>
        <w:t>Deux principales raisons nous ont motivé à traiter c</w:t>
      </w:r>
      <w:r w:rsidRPr="00255550">
        <w:rPr>
          <w:rFonts w:cs="Times New Roman"/>
          <w:szCs w:val="24"/>
        </w:rPr>
        <w:t xml:space="preserve">e phénomène de </w:t>
      </w:r>
      <w:r>
        <w:rPr>
          <w:rFonts w:cs="Times New Roman"/>
          <w:szCs w:val="24"/>
        </w:rPr>
        <w:t>déséquilibre monétaire :</w:t>
      </w:r>
    </w:p>
    <w:p w:rsidR="00EC2073" w:rsidRPr="007E45B7" w:rsidRDefault="00697A6C" w:rsidP="00D95740">
      <w:pPr>
        <w:pStyle w:val="Paragraphedeliste"/>
        <w:numPr>
          <w:ilvl w:val="0"/>
          <w:numId w:val="16"/>
        </w:numPr>
        <w:spacing w:before="0" w:after="200"/>
        <w:rPr>
          <w:rFonts w:cs="Times New Roman"/>
          <w:szCs w:val="24"/>
        </w:rPr>
      </w:pPr>
      <w:r w:rsidRPr="007E45B7">
        <w:rPr>
          <w:rFonts w:cs="Times New Roman"/>
          <w:szCs w:val="24"/>
        </w:rPr>
        <w:t xml:space="preserve">La première </w:t>
      </w:r>
      <w:r w:rsidR="00547F17">
        <w:rPr>
          <w:rFonts w:cs="Times New Roman"/>
          <w:szCs w:val="24"/>
        </w:rPr>
        <w:t>motivation</w:t>
      </w:r>
      <w:r w:rsidRPr="007E45B7">
        <w:rPr>
          <w:rFonts w:cs="Times New Roman"/>
          <w:szCs w:val="24"/>
        </w:rPr>
        <w:t>,</w:t>
      </w:r>
      <w:r w:rsidR="007E45B7" w:rsidRPr="007E45B7">
        <w:rPr>
          <w:rFonts w:cs="Times New Roman"/>
          <w:szCs w:val="24"/>
        </w:rPr>
        <w:t xml:space="preserve"> est du fait qu’il permet d’offrir une illustration d’un sujet d’actualité. En effet, ce phénomène a duré toute une décennie, et </w:t>
      </w:r>
      <w:r w:rsidR="001572DF">
        <w:rPr>
          <w:rFonts w:cs="Times New Roman"/>
          <w:szCs w:val="24"/>
        </w:rPr>
        <w:t xml:space="preserve">il est cyclique </w:t>
      </w:r>
      <w:r w:rsidR="00530910">
        <w:rPr>
          <w:rFonts w:cs="Times New Roman"/>
          <w:szCs w:val="24"/>
        </w:rPr>
        <w:t>à la variation du prix du baril ;</w:t>
      </w:r>
    </w:p>
    <w:p w:rsidR="00EC2073" w:rsidRPr="00255550" w:rsidRDefault="00EC2073" w:rsidP="00D95740">
      <w:pPr>
        <w:pStyle w:val="Paragraphedeliste"/>
        <w:numPr>
          <w:ilvl w:val="0"/>
          <w:numId w:val="16"/>
        </w:numPr>
        <w:spacing w:before="0" w:after="200"/>
        <w:rPr>
          <w:rFonts w:cs="Times New Roman"/>
          <w:szCs w:val="24"/>
        </w:rPr>
      </w:pPr>
      <w:r>
        <w:rPr>
          <w:rFonts w:cs="Times New Roman"/>
          <w:szCs w:val="24"/>
        </w:rPr>
        <w:t>La seconde motivation est d’ordre personnel</w:t>
      </w:r>
      <w:r w:rsidRPr="006E3E54">
        <w:rPr>
          <w:rFonts w:cs="Times New Roman"/>
        </w:rPr>
        <w:t>. En effet, il est primordial que ce sujet s’inscri</w:t>
      </w:r>
      <w:r>
        <w:rPr>
          <w:rFonts w:cs="Times New Roman"/>
        </w:rPr>
        <w:t xml:space="preserve">ve </w:t>
      </w:r>
      <w:r w:rsidRPr="006E3E54">
        <w:rPr>
          <w:rFonts w:cs="Times New Roman"/>
        </w:rPr>
        <w:t xml:space="preserve"> pleinement dans l’objet central de notre formation, à savoir, l’étude, l’analyse et la compréhension des phénomènes monétaires, </w:t>
      </w:r>
      <w:r w:rsidR="00AC2B20" w:rsidRPr="006E3E54">
        <w:rPr>
          <w:rFonts w:cs="Times New Roman"/>
        </w:rPr>
        <w:t>financiers</w:t>
      </w:r>
      <w:r w:rsidR="00AC2B20">
        <w:rPr>
          <w:rFonts w:cs="Times New Roman"/>
        </w:rPr>
        <w:t>, et</w:t>
      </w:r>
      <w:r>
        <w:rPr>
          <w:rFonts w:cs="Times New Roman"/>
        </w:rPr>
        <w:t xml:space="preserve"> surtout bancaires.</w:t>
      </w:r>
    </w:p>
    <w:p w:rsidR="00EC2073" w:rsidRDefault="00530910" w:rsidP="00BC0DD4">
      <w:pPr>
        <w:ind w:firstLine="0"/>
        <w:rPr>
          <w:rFonts w:cs="Times New Roman"/>
          <w:b/>
          <w:bCs/>
          <w:szCs w:val="24"/>
        </w:rPr>
      </w:pPr>
      <w:r>
        <w:rPr>
          <w:rFonts w:cs="Times New Roman"/>
          <w:b/>
          <w:bCs/>
          <w:szCs w:val="24"/>
        </w:rPr>
        <w:t>Problématique </w:t>
      </w:r>
    </w:p>
    <w:p w:rsidR="00EC2073" w:rsidRDefault="00EC2073" w:rsidP="007E45B7">
      <w:pPr>
        <w:ind w:firstLine="708"/>
        <w:rPr>
          <w:rFonts w:cs="Times New Roman"/>
          <w:szCs w:val="24"/>
        </w:rPr>
      </w:pPr>
      <w:r>
        <w:rPr>
          <w:rFonts w:cs="Times New Roman"/>
          <w:szCs w:val="24"/>
        </w:rPr>
        <w:t xml:space="preserve">La surliquidité bancaire traduit une situation où les banques détiennent des liquidités au-delà de ce qui est convenable pour faire face au risque d’illiquidité. Ces banques disposent de </w:t>
      </w:r>
      <w:r w:rsidR="007E45B7">
        <w:rPr>
          <w:rFonts w:cs="Times New Roman"/>
          <w:szCs w:val="24"/>
        </w:rPr>
        <w:t xml:space="preserve">masses d’argent </w:t>
      </w:r>
      <w:r>
        <w:rPr>
          <w:rFonts w:cs="Times New Roman"/>
          <w:szCs w:val="24"/>
        </w:rPr>
        <w:t xml:space="preserve"> oisives largement supérieur</w:t>
      </w:r>
      <w:r w:rsidR="00155AF3">
        <w:rPr>
          <w:rFonts w:cs="Times New Roman"/>
          <w:szCs w:val="24"/>
        </w:rPr>
        <w:t>e</w:t>
      </w:r>
      <w:r>
        <w:rPr>
          <w:rFonts w:cs="Times New Roman"/>
          <w:szCs w:val="24"/>
        </w:rPr>
        <w:t xml:space="preserve">s à ce qui peut être considéré comme optimal au regard des ratios prudentiels qui leurs sont imposés. Ces ratios sont définis en référence au degré de transformation de la liquidité compatible avec la stabilité financière du pays. </w:t>
      </w:r>
    </w:p>
    <w:p w:rsidR="007E45B7" w:rsidRDefault="007E45B7" w:rsidP="001E62BE">
      <w:pPr>
        <w:rPr>
          <w:rFonts w:cs="Times New Roman"/>
          <w:szCs w:val="24"/>
        </w:rPr>
      </w:pPr>
    </w:p>
    <w:p w:rsidR="00B55202" w:rsidRDefault="00B55202" w:rsidP="007E45B7">
      <w:pPr>
        <w:rPr>
          <w:rFonts w:cs="Times New Roman"/>
          <w:szCs w:val="24"/>
        </w:rPr>
      </w:pPr>
    </w:p>
    <w:p w:rsidR="00B55202" w:rsidRDefault="00B55202" w:rsidP="007E45B7">
      <w:pPr>
        <w:rPr>
          <w:rFonts w:cs="Times New Roman"/>
          <w:szCs w:val="24"/>
        </w:rPr>
      </w:pPr>
    </w:p>
    <w:p w:rsidR="001E62BE" w:rsidRDefault="00EC2073" w:rsidP="007E45B7">
      <w:pPr>
        <w:rPr>
          <w:rFonts w:asciiTheme="majorBidi" w:eastAsiaTheme="minorHAnsi" w:hAnsiTheme="majorBidi" w:cstheme="majorBidi"/>
          <w:szCs w:val="24"/>
          <w:lang w:eastAsia="en-US"/>
        </w:rPr>
      </w:pPr>
      <w:r>
        <w:rPr>
          <w:rFonts w:cs="Times New Roman"/>
          <w:szCs w:val="24"/>
        </w:rPr>
        <w:lastRenderedPageBreak/>
        <w:t xml:space="preserve">De ce fait, la problématique que nous posons dans ce travail de recherche repose sur la question principale suivante : </w:t>
      </w:r>
      <w:r w:rsidR="001E62BE" w:rsidRPr="001E62BE">
        <w:rPr>
          <w:rFonts w:cs="Times New Roman"/>
          <w:szCs w:val="24"/>
        </w:rPr>
        <w:t>C</w:t>
      </w:r>
      <w:r w:rsidR="001E62BE" w:rsidRPr="001E62BE">
        <w:rPr>
          <w:rFonts w:asciiTheme="majorBidi" w:eastAsiaTheme="minorHAnsi" w:hAnsiTheme="majorBidi" w:cstheme="majorBidi"/>
          <w:szCs w:val="24"/>
          <w:lang w:eastAsia="en-US"/>
        </w:rPr>
        <w:t xml:space="preserve">omment peut-on caractériser le problème de la surliquidité dans les banques algériennes et quelle est la portée </w:t>
      </w:r>
      <w:r w:rsidR="00530910">
        <w:rPr>
          <w:rFonts w:asciiTheme="majorBidi" w:eastAsiaTheme="minorHAnsi" w:hAnsiTheme="majorBidi" w:cstheme="majorBidi"/>
          <w:szCs w:val="24"/>
          <w:lang w:eastAsia="en-US"/>
        </w:rPr>
        <w:t xml:space="preserve">de la réponse </w:t>
      </w:r>
      <w:r w:rsidR="001E62BE" w:rsidRPr="001E62BE">
        <w:rPr>
          <w:rFonts w:asciiTheme="majorBidi" w:eastAsiaTheme="minorHAnsi" w:hAnsiTheme="majorBidi" w:cstheme="majorBidi"/>
          <w:szCs w:val="24"/>
          <w:lang w:eastAsia="en-US"/>
        </w:rPr>
        <w:t xml:space="preserve">des autorités monétaires face à ce phénomène ? </w:t>
      </w:r>
    </w:p>
    <w:p w:rsidR="00530910" w:rsidRPr="006E3E54" w:rsidRDefault="00530910" w:rsidP="00530910">
      <w:pPr>
        <w:ind w:firstLine="720"/>
        <w:rPr>
          <w:rFonts w:cs="Times New Roman"/>
        </w:rPr>
      </w:pPr>
      <w:r>
        <w:rPr>
          <w:rFonts w:cs="Times New Roman"/>
        </w:rPr>
        <w:t>N</w:t>
      </w:r>
      <w:r w:rsidRPr="006E3E54">
        <w:rPr>
          <w:rFonts w:cs="Times New Roman"/>
        </w:rPr>
        <w:t xml:space="preserve">ous allons </w:t>
      </w:r>
      <w:r>
        <w:rPr>
          <w:rFonts w:cs="Times New Roman"/>
        </w:rPr>
        <w:t xml:space="preserve">tenter </w:t>
      </w:r>
      <w:r w:rsidRPr="006E3E54">
        <w:rPr>
          <w:rFonts w:cs="Times New Roman"/>
        </w:rPr>
        <w:t xml:space="preserve">de répondre à cette problématique principale en </w:t>
      </w:r>
      <w:r>
        <w:rPr>
          <w:rFonts w:cs="Times New Roman"/>
        </w:rPr>
        <w:t>soulignant des Sous-question</w:t>
      </w:r>
      <w:r w:rsidRPr="006E3E54">
        <w:rPr>
          <w:rFonts w:cs="Times New Roman"/>
        </w:rPr>
        <w:t xml:space="preserve">s que nous </w:t>
      </w:r>
      <w:r>
        <w:rPr>
          <w:rFonts w:cs="Times New Roman"/>
        </w:rPr>
        <w:t xml:space="preserve">jugeons </w:t>
      </w:r>
      <w:r w:rsidRPr="006E3E54">
        <w:rPr>
          <w:rFonts w:cs="Times New Roman"/>
        </w:rPr>
        <w:t xml:space="preserve">complémentaires et autour desquelles ce travail s’articule à savoir : </w:t>
      </w:r>
    </w:p>
    <w:p w:rsidR="00530910" w:rsidRDefault="00530910" w:rsidP="00D95740">
      <w:pPr>
        <w:pStyle w:val="Paragraphedeliste"/>
        <w:numPr>
          <w:ilvl w:val="0"/>
          <w:numId w:val="16"/>
        </w:numPr>
        <w:spacing w:before="0" w:after="200"/>
        <w:rPr>
          <w:rFonts w:cs="Times New Roman"/>
          <w:szCs w:val="24"/>
        </w:rPr>
      </w:pPr>
      <w:r w:rsidRPr="001B0656">
        <w:rPr>
          <w:rFonts w:cs="Times New Roman"/>
          <w:szCs w:val="24"/>
        </w:rPr>
        <w:t>Dans qu</w:t>
      </w:r>
      <w:r>
        <w:rPr>
          <w:rFonts w:cs="Times New Roman"/>
          <w:szCs w:val="24"/>
        </w:rPr>
        <w:t>el cas pouvons-nou</w:t>
      </w:r>
      <w:r w:rsidRPr="001B0656">
        <w:rPr>
          <w:rFonts w:cs="Times New Roman"/>
          <w:szCs w:val="24"/>
        </w:rPr>
        <w:t>s</w:t>
      </w:r>
      <w:r>
        <w:rPr>
          <w:rFonts w:cs="Times New Roman"/>
          <w:szCs w:val="24"/>
        </w:rPr>
        <w:t xml:space="preserve"> parler d’un excédent de liquidité bancaire ? Et quelles sont les principales caractéristiques de cette dernière ?</w:t>
      </w:r>
    </w:p>
    <w:p w:rsidR="00530910" w:rsidRDefault="00530910" w:rsidP="00D95740">
      <w:pPr>
        <w:pStyle w:val="Paragraphedeliste"/>
        <w:numPr>
          <w:ilvl w:val="0"/>
          <w:numId w:val="16"/>
        </w:numPr>
        <w:spacing w:before="0" w:after="200"/>
        <w:rPr>
          <w:rFonts w:cs="Times New Roman"/>
          <w:szCs w:val="24"/>
        </w:rPr>
      </w:pPr>
      <w:r>
        <w:rPr>
          <w:rFonts w:cs="Times New Roman"/>
          <w:szCs w:val="24"/>
        </w:rPr>
        <w:t>Comment la surliquidité bancaire est-elle influencée ?</w:t>
      </w:r>
    </w:p>
    <w:p w:rsidR="00530910" w:rsidRDefault="00530910" w:rsidP="00D95740">
      <w:pPr>
        <w:pStyle w:val="Paragraphedeliste"/>
        <w:numPr>
          <w:ilvl w:val="0"/>
          <w:numId w:val="16"/>
        </w:numPr>
        <w:spacing w:before="0" w:after="200"/>
        <w:rPr>
          <w:rFonts w:cs="Times New Roman"/>
          <w:szCs w:val="24"/>
        </w:rPr>
      </w:pPr>
      <w:r>
        <w:rPr>
          <w:rFonts w:cs="Times New Roman"/>
          <w:szCs w:val="24"/>
        </w:rPr>
        <w:t>Quelles sont les conséquences de ce phénomène sur le plan bancaire et économiques ?</w:t>
      </w:r>
    </w:p>
    <w:p w:rsidR="00557E43" w:rsidRDefault="00557E43" w:rsidP="00A179BA">
      <w:pPr>
        <w:rPr>
          <w:rFonts w:asciiTheme="majorBidi" w:eastAsiaTheme="minorHAnsi" w:hAnsiTheme="majorBidi" w:cstheme="majorBidi"/>
          <w:szCs w:val="24"/>
          <w:lang w:eastAsia="en-US"/>
        </w:rPr>
      </w:pPr>
      <w:r>
        <w:rPr>
          <w:rFonts w:asciiTheme="majorBidi" w:eastAsiaTheme="minorHAnsi" w:hAnsiTheme="majorBidi" w:cstheme="majorBidi"/>
          <w:szCs w:val="24"/>
          <w:lang w:eastAsia="en-US"/>
        </w:rPr>
        <w:t xml:space="preserve">Il s’agit dans notre travail </w:t>
      </w:r>
      <w:r w:rsidR="00A179BA">
        <w:rPr>
          <w:rFonts w:asciiTheme="majorBidi" w:eastAsiaTheme="minorHAnsi" w:hAnsiTheme="majorBidi" w:cstheme="majorBidi"/>
          <w:szCs w:val="24"/>
          <w:lang w:eastAsia="en-US"/>
        </w:rPr>
        <w:t>d’identifier les causes de la surliquidité</w:t>
      </w:r>
      <w:r>
        <w:rPr>
          <w:rFonts w:asciiTheme="majorBidi" w:eastAsiaTheme="minorHAnsi" w:hAnsiTheme="majorBidi" w:cstheme="majorBidi"/>
          <w:szCs w:val="24"/>
          <w:lang w:eastAsia="en-US"/>
        </w:rPr>
        <w:t xml:space="preserve"> bancaire en Algérie, </w:t>
      </w:r>
      <w:r w:rsidR="00A179BA">
        <w:rPr>
          <w:rFonts w:asciiTheme="majorBidi" w:eastAsiaTheme="minorHAnsi" w:hAnsiTheme="majorBidi" w:cstheme="majorBidi"/>
          <w:szCs w:val="24"/>
          <w:lang w:eastAsia="en-US"/>
        </w:rPr>
        <w:t xml:space="preserve">et </w:t>
      </w:r>
      <w:r>
        <w:rPr>
          <w:rFonts w:asciiTheme="majorBidi" w:eastAsiaTheme="minorHAnsi" w:hAnsiTheme="majorBidi" w:cstheme="majorBidi"/>
          <w:szCs w:val="24"/>
          <w:lang w:eastAsia="en-US"/>
        </w:rPr>
        <w:t xml:space="preserve">d’examiner la manière dont </w:t>
      </w:r>
      <w:r w:rsidR="007E45B7">
        <w:rPr>
          <w:rFonts w:asciiTheme="majorBidi" w:eastAsiaTheme="minorHAnsi" w:hAnsiTheme="majorBidi" w:cstheme="majorBidi"/>
          <w:szCs w:val="24"/>
          <w:lang w:eastAsia="en-US"/>
        </w:rPr>
        <w:t>elle</w:t>
      </w:r>
      <w:r>
        <w:rPr>
          <w:rFonts w:asciiTheme="majorBidi" w:eastAsiaTheme="minorHAnsi" w:hAnsiTheme="majorBidi" w:cstheme="majorBidi"/>
          <w:szCs w:val="24"/>
          <w:lang w:eastAsia="en-US"/>
        </w:rPr>
        <w:t xml:space="preserve"> est gérée.</w:t>
      </w:r>
    </w:p>
    <w:p w:rsidR="00557E43" w:rsidRDefault="00557E43" w:rsidP="001E62BE">
      <w:pPr>
        <w:rPr>
          <w:rFonts w:asciiTheme="majorBidi" w:eastAsiaTheme="minorHAnsi" w:hAnsiTheme="majorBidi" w:cstheme="majorBidi"/>
          <w:szCs w:val="24"/>
          <w:lang w:eastAsia="en-US"/>
        </w:rPr>
      </w:pPr>
      <w:r>
        <w:rPr>
          <w:rFonts w:asciiTheme="majorBidi" w:eastAsiaTheme="minorHAnsi" w:hAnsiTheme="majorBidi" w:cstheme="majorBidi"/>
          <w:szCs w:val="24"/>
          <w:lang w:eastAsia="en-US"/>
        </w:rPr>
        <w:t>Les hypothèses sur lesquelles nous fondons notre champ d’analyse sont les suivantes :</w:t>
      </w:r>
    </w:p>
    <w:p w:rsidR="002964F9" w:rsidRPr="002964F9" w:rsidRDefault="002964F9" w:rsidP="00D95740">
      <w:pPr>
        <w:numPr>
          <w:ilvl w:val="0"/>
          <w:numId w:val="19"/>
        </w:numPr>
        <w:rPr>
          <w:rFonts w:asciiTheme="majorBidi" w:eastAsiaTheme="minorHAnsi" w:hAnsiTheme="majorBidi" w:cstheme="majorBidi"/>
          <w:b/>
          <w:bCs/>
          <w:szCs w:val="24"/>
          <w:lang w:eastAsia="en-US"/>
        </w:rPr>
      </w:pPr>
      <w:r w:rsidRPr="002964F9">
        <w:rPr>
          <w:rFonts w:asciiTheme="majorBidi" w:eastAsiaTheme="minorHAnsi" w:hAnsiTheme="majorBidi" w:cstheme="majorBidi"/>
          <w:b/>
          <w:bCs/>
          <w:szCs w:val="24"/>
          <w:lang w:eastAsia="en-US"/>
        </w:rPr>
        <w:t xml:space="preserve">Hypothèse 01 : </w:t>
      </w:r>
      <w:r w:rsidRPr="002964F9">
        <w:rPr>
          <w:rFonts w:asciiTheme="majorBidi" w:eastAsiaTheme="minorHAnsi" w:hAnsiTheme="majorBidi" w:cstheme="majorBidi"/>
          <w:szCs w:val="24"/>
          <w:lang w:eastAsia="en-US"/>
        </w:rPr>
        <w:t>La surliquidité sera d’une grande ampleur</w:t>
      </w:r>
      <w:r w:rsidR="00663695">
        <w:rPr>
          <w:rFonts w:asciiTheme="majorBidi" w:eastAsiaTheme="minorHAnsi" w:hAnsiTheme="majorBidi" w:cstheme="majorBidi"/>
          <w:szCs w:val="24"/>
          <w:lang w:eastAsia="en-US"/>
        </w:rPr>
        <w:t xml:space="preserve"> dans</w:t>
      </w:r>
      <w:r w:rsidRPr="002964F9">
        <w:rPr>
          <w:rFonts w:asciiTheme="majorBidi" w:eastAsiaTheme="minorHAnsi" w:hAnsiTheme="majorBidi" w:cstheme="majorBidi"/>
          <w:szCs w:val="24"/>
          <w:lang w:eastAsia="en-US"/>
        </w:rPr>
        <w:t xml:space="preserve"> les banques</w:t>
      </w:r>
      <w:r w:rsidR="00C84B9B">
        <w:rPr>
          <w:rFonts w:asciiTheme="majorBidi" w:eastAsiaTheme="minorHAnsi" w:hAnsiTheme="majorBidi" w:cstheme="majorBidi"/>
          <w:szCs w:val="24"/>
          <w:lang w:eastAsia="en-US"/>
        </w:rPr>
        <w:t xml:space="preserve"> </w:t>
      </w:r>
      <w:r w:rsidRPr="002964F9">
        <w:rPr>
          <w:rFonts w:asciiTheme="majorBidi" w:eastAsiaTheme="minorHAnsi" w:hAnsiTheme="majorBidi" w:cstheme="majorBidi"/>
          <w:szCs w:val="24"/>
          <w:lang w:eastAsia="en-US"/>
        </w:rPr>
        <w:t>algériennes suite à l’augmentation des revenus extérieurs</w:t>
      </w:r>
      <w:r w:rsidR="00C84B9B">
        <w:rPr>
          <w:rFonts w:asciiTheme="majorBidi" w:eastAsiaTheme="minorHAnsi" w:hAnsiTheme="majorBidi" w:cstheme="majorBidi"/>
          <w:szCs w:val="24"/>
          <w:lang w:eastAsia="en-US"/>
        </w:rPr>
        <w:t xml:space="preserve"> </w:t>
      </w:r>
      <w:r w:rsidRPr="002964F9">
        <w:rPr>
          <w:rFonts w:asciiTheme="majorBidi" w:eastAsiaTheme="minorHAnsi" w:hAnsiTheme="majorBidi" w:cstheme="majorBidi"/>
          <w:szCs w:val="24"/>
          <w:lang w:eastAsia="en-US"/>
        </w:rPr>
        <w:t xml:space="preserve">du pays compte tenu de la hausse des prix des hydrocarbures qui demeurent toujours la </w:t>
      </w:r>
      <w:r w:rsidR="00663695">
        <w:rPr>
          <w:rFonts w:asciiTheme="majorBidi" w:eastAsiaTheme="minorHAnsi" w:hAnsiTheme="majorBidi" w:cstheme="majorBidi"/>
          <w:szCs w:val="24"/>
          <w:lang w:eastAsia="en-US"/>
        </w:rPr>
        <w:t xml:space="preserve">source </w:t>
      </w:r>
      <w:r w:rsidRPr="002964F9">
        <w:rPr>
          <w:rFonts w:asciiTheme="majorBidi" w:eastAsiaTheme="minorHAnsi" w:hAnsiTheme="majorBidi" w:cstheme="majorBidi"/>
          <w:szCs w:val="24"/>
          <w:lang w:eastAsia="en-US"/>
        </w:rPr>
        <w:t>principale</w:t>
      </w:r>
      <w:r w:rsidR="00663695">
        <w:rPr>
          <w:rFonts w:asciiTheme="majorBidi" w:eastAsiaTheme="minorHAnsi" w:hAnsiTheme="majorBidi" w:cstheme="majorBidi"/>
          <w:szCs w:val="24"/>
          <w:lang w:eastAsia="en-US"/>
        </w:rPr>
        <w:t xml:space="preserve"> de revenus pour </w:t>
      </w:r>
      <w:r w:rsidRPr="002964F9">
        <w:rPr>
          <w:rFonts w:asciiTheme="majorBidi" w:eastAsiaTheme="minorHAnsi" w:hAnsiTheme="majorBidi" w:cstheme="majorBidi"/>
          <w:szCs w:val="24"/>
          <w:lang w:eastAsia="en-US"/>
        </w:rPr>
        <w:t>l’économie nationale.</w:t>
      </w:r>
      <w:r w:rsidR="007E45B7">
        <w:rPr>
          <w:rFonts w:asciiTheme="majorBidi" w:eastAsiaTheme="minorHAnsi" w:hAnsiTheme="majorBidi" w:cstheme="majorBidi"/>
          <w:szCs w:val="24"/>
          <w:lang w:eastAsia="en-US"/>
        </w:rPr>
        <w:t xml:space="preserve"> La</w:t>
      </w:r>
      <w:r w:rsidR="00663695">
        <w:rPr>
          <w:rFonts w:asciiTheme="majorBidi" w:eastAsiaTheme="minorHAnsi" w:hAnsiTheme="majorBidi" w:cstheme="majorBidi"/>
          <w:szCs w:val="24"/>
          <w:lang w:eastAsia="en-US"/>
        </w:rPr>
        <w:t xml:space="preserve"> rente pétrolière constituerait alors le facteur essentiel de la surliquidité bancaire en Algérie.</w:t>
      </w:r>
    </w:p>
    <w:p w:rsidR="002964F9" w:rsidRPr="002964F9" w:rsidRDefault="002964F9" w:rsidP="00D95740">
      <w:pPr>
        <w:numPr>
          <w:ilvl w:val="0"/>
          <w:numId w:val="19"/>
        </w:numPr>
        <w:rPr>
          <w:rFonts w:asciiTheme="majorBidi" w:eastAsiaTheme="minorHAnsi" w:hAnsiTheme="majorBidi" w:cstheme="majorBidi"/>
          <w:b/>
          <w:bCs/>
          <w:szCs w:val="24"/>
          <w:lang w:eastAsia="en-US"/>
        </w:rPr>
      </w:pPr>
      <w:r w:rsidRPr="002964F9">
        <w:rPr>
          <w:rFonts w:asciiTheme="majorBidi" w:eastAsiaTheme="minorHAnsi" w:hAnsiTheme="majorBidi" w:cstheme="majorBidi"/>
          <w:b/>
          <w:bCs/>
          <w:szCs w:val="24"/>
          <w:lang w:eastAsia="en-US"/>
        </w:rPr>
        <w:t xml:space="preserve">Hypothèse 02 : </w:t>
      </w:r>
      <w:r w:rsidRPr="002964F9">
        <w:rPr>
          <w:rFonts w:asciiTheme="majorBidi" w:eastAsiaTheme="minorHAnsi" w:hAnsiTheme="majorBidi" w:cstheme="majorBidi"/>
          <w:szCs w:val="24"/>
          <w:lang w:eastAsia="en-US"/>
        </w:rPr>
        <w:t>En fin 2014, nous avons assisté à la baisse, puis à la disparition de l’excès de liquidité</w:t>
      </w:r>
      <w:r w:rsidR="00663695">
        <w:rPr>
          <w:rFonts w:asciiTheme="majorBidi" w:eastAsiaTheme="minorHAnsi" w:hAnsiTheme="majorBidi" w:cstheme="majorBidi"/>
          <w:szCs w:val="24"/>
          <w:lang w:eastAsia="en-US"/>
        </w:rPr>
        <w:t xml:space="preserve"> bancaire. Il serait alors difficile d’imputer cela à l’</w:t>
      </w:r>
      <w:r w:rsidRPr="002964F9">
        <w:rPr>
          <w:rFonts w:asciiTheme="majorBidi" w:eastAsiaTheme="minorHAnsi" w:hAnsiTheme="majorBidi" w:cstheme="majorBidi"/>
          <w:szCs w:val="24"/>
          <w:lang w:eastAsia="en-US"/>
        </w:rPr>
        <w:t xml:space="preserve">efficacité de la politique monétaire adopté par les autorités, </w:t>
      </w:r>
      <w:r w:rsidR="00663695">
        <w:rPr>
          <w:rFonts w:asciiTheme="majorBidi" w:eastAsiaTheme="minorHAnsi" w:hAnsiTheme="majorBidi" w:cstheme="majorBidi"/>
          <w:szCs w:val="24"/>
          <w:lang w:eastAsia="en-US"/>
        </w:rPr>
        <w:t xml:space="preserve">puisque le prix du baril </w:t>
      </w:r>
      <w:r w:rsidRPr="002964F9">
        <w:rPr>
          <w:rFonts w:asciiTheme="majorBidi" w:eastAsiaTheme="minorHAnsi" w:hAnsiTheme="majorBidi" w:cstheme="majorBidi"/>
          <w:szCs w:val="24"/>
          <w:lang w:eastAsia="en-US"/>
        </w:rPr>
        <w:t xml:space="preserve"> a commencé à chuter depuis le début de l’année 2014.  </w:t>
      </w:r>
    </w:p>
    <w:p w:rsidR="00EC2073" w:rsidRDefault="00A179BA" w:rsidP="004620D4">
      <w:pPr>
        <w:ind w:firstLine="0"/>
        <w:rPr>
          <w:rFonts w:cs="Times New Roman"/>
          <w:b/>
          <w:bCs/>
          <w:szCs w:val="24"/>
        </w:rPr>
      </w:pPr>
      <w:r>
        <w:rPr>
          <w:rFonts w:cs="Times New Roman"/>
          <w:b/>
          <w:bCs/>
          <w:szCs w:val="24"/>
        </w:rPr>
        <w:t>Démarche de la recherche </w:t>
      </w:r>
    </w:p>
    <w:p w:rsidR="00EC2073" w:rsidRPr="00A32086" w:rsidRDefault="00EC2073" w:rsidP="007E45B7">
      <w:pPr>
        <w:ind w:firstLine="720"/>
        <w:rPr>
          <w:rFonts w:cs="Times New Roman"/>
          <w:szCs w:val="24"/>
        </w:rPr>
      </w:pPr>
      <w:r w:rsidRPr="00A32086">
        <w:rPr>
          <w:rFonts w:cs="Times New Roman"/>
          <w:szCs w:val="24"/>
        </w:rPr>
        <w:t xml:space="preserve">Afin </w:t>
      </w:r>
      <w:r w:rsidR="007E45B7">
        <w:rPr>
          <w:rFonts w:cs="Times New Roman"/>
          <w:szCs w:val="24"/>
        </w:rPr>
        <w:t>de porter</w:t>
      </w:r>
      <w:r w:rsidRPr="00A32086">
        <w:rPr>
          <w:rFonts w:cs="Times New Roman"/>
          <w:szCs w:val="24"/>
        </w:rPr>
        <w:t xml:space="preserve"> quelques éléments de réponses à c</w:t>
      </w:r>
      <w:r w:rsidR="007E45B7">
        <w:rPr>
          <w:rFonts w:cs="Times New Roman"/>
          <w:szCs w:val="24"/>
        </w:rPr>
        <w:t>es questions, nous avons suivis</w:t>
      </w:r>
      <w:r w:rsidRPr="00A32086">
        <w:rPr>
          <w:rFonts w:cs="Times New Roman"/>
          <w:szCs w:val="24"/>
        </w:rPr>
        <w:t xml:space="preserve"> la méthode descriptive, qui consiste à rendre transparente la situation des banques algériennes, et à expliquer l</w:t>
      </w:r>
      <w:r w:rsidRPr="00D20E74">
        <w:rPr>
          <w:rFonts w:cs="Times New Roman"/>
          <w:szCs w:val="24"/>
        </w:rPr>
        <w:t>’</w:t>
      </w:r>
      <w:r w:rsidRPr="00A32086">
        <w:rPr>
          <w:rFonts w:cs="Times New Roman"/>
          <w:szCs w:val="24"/>
        </w:rPr>
        <w:t>origine de ce déséquilibre monétaire pendant la décennie 2000. Ensuite, nous avons opté pour une méthode analytique, où nous avons présenté des données chiffré</w:t>
      </w:r>
      <w:r w:rsidRPr="00D20E74">
        <w:rPr>
          <w:rFonts w:cs="Times New Roman"/>
          <w:szCs w:val="24"/>
        </w:rPr>
        <w:t>e</w:t>
      </w:r>
      <w:r w:rsidRPr="00A32086">
        <w:rPr>
          <w:rFonts w:cs="Times New Roman"/>
          <w:szCs w:val="24"/>
        </w:rPr>
        <w:t>s par rapport à l</w:t>
      </w:r>
      <w:r w:rsidRPr="00D20E74">
        <w:rPr>
          <w:rFonts w:cs="Times New Roman"/>
          <w:szCs w:val="24"/>
        </w:rPr>
        <w:t>’</w:t>
      </w:r>
      <w:r w:rsidRPr="00A32086">
        <w:rPr>
          <w:rFonts w:cs="Times New Roman"/>
          <w:szCs w:val="24"/>
        </w:rPr>
        <w:t xml:space="preserve">économie nationale en générale, et les banques en particulier. </w:t>
      </w:r>
    </w:p>
    <w:p w:rsidR="00807890" w:rsidRDefault="00807890" w:rsidP="00BC0DD4">
      <w:pPr>
        <w:ind w:firstLine="0"/>
        <w:rPr>
          <w:rFonts w:cs="Times New Roman"/>
          <w:b/>
          <w:bCs/>
          <w:szCs w:val="24"/>
        </w:rPr>
      </w:pPr>
    </w:p>
    <w:p w:rsidR="00EC2073" w:rsidRPr="00D20E74" w:rsidRDefault="00EC2073" w:rsidP="00BC0DD4">
      <w:pPr>
        <w:ind w:firstLine="0"/>
        <w:rPr>
          <w:rFonts w:cs="Times New Roman"/>
          <w:b/>
          <w:bCs/>
          <w:szCs w:val="24"/>
        </w:rPr>
      </w:pPr>
      <w:r w:rsidRPr="00040F29">
        <w:rPr>
          <w:rFonts w:cs="Times New Roman"/>
          <w:b/>
          <w:bCs/>
          <w:szCs w:val="24"/>
        </w:rPr>
        <w:t>Structure du travail</w:t>
      </w:r>
      <w:r w:rsidR="00A179BA">
        <w:rPr>
          <w:rFonts w:cs="Times New Roman"/>
          <w:b/>
          <w:bCs/>
          <w:szCs w:val="24"/>
        </w:rPr>
        <w:t> </w:t>
      </w:r>
    </w:p>
    <w:p w:rsidR="00EC2073" w:rsidRPr="00A32086" w:rsidRDefault="00EC2073" w:rsidP="0005602E">
      <w:pPr>
        <w:autoSpaceDE w:val="0"/>
        <w:autoSpaceDN w:val="0"/>
        <w:adjustRightInd w:val="0"/>
        <w:ind w:firstLine="708"/>
        <w:rPr>
          <w:rFonts w:cs="Times New Roman"/>
          <w:szCs w:val="24"/>
        </w:rPr>
      </w:pPr>
      <w:r w:rsidRPr="00A32086">
        <w:rPr>
          <w:rFonts w:cs="Times New Roman"/>
          <w:szCs w:val="24"/>
        </w:rPr>
        <w:t xml:space="preserve">Devant les interrogations, les motivations et le but de notre travail et auxquelles nous tenterons des éléments de réponse, nous avons </w:t>
      </w:r>
      <w:r w:rsidR="0005602E">
        <w:rPr>
          <w:rFonts w:cs="Times New Roman"/>
          <w:szCs w:val="24"/>
        </w:rPr>
        <w:t xml:space="preserve">adopté </w:t>
      </w:r>
      <w:r w:rsidRPr="00A32086">
        <w:rPr>
          <w:rFonts w:cs="Times New Roman"/>
          <w:szCs w:val="24"/>
        </w:rPr>
        <w:t xml:space="preserve"> une structure scindée en trois </w:t>
      </w:r>
      <w:r>
        <w:rPr>
          <w:rFonts w:cs="Times New Roman"/>
          <w:szCs w:val="24"/>
        </w:rPr>
        <w:t xml:space="preserve">chapitres </w:t>
      </w:r>
      <w:r w:rsidRPr="00A32086">
        <w:rPr>
          <w:rFonts w:cs="Times New Roman"/>
          <w:szCs w:val="24"/>
        </w:rPr>
        <w:t>précédés par une introduction et clôturés par une conclusion.</w:t>
      </w:r>
    </w:p>
    <w:p w:rsidR="00EC2073" w:rsidRDefault="00EC2073" w:rsidP="0005602E">
      <w:pPr>
        <w:ind w:firstLine="720"/>
        <w:rPr>
          <w:rFonts w:cs="Times New Roman"/>
          <w:szCs w:val="24"/>
        </w:rPr>
      </w:pPr>
      <w:r>
        <w:rPr>
          <w:rFonts w:cs="Times New Roman"/>
          <w:szCs w:val="24"/>
        </w:rPr>
        <w:t xml:space="preserve">Le premier chapitre se compose de deux sections, dont la première consiste en une présentation de l’historique du système bancaire algérien, ainsi que son organisation depuis sa création. Quant à la deuxième section, elle nous donnera une vision sur la liquidité bancaire, ainsi que les documents comptables qui permettent </w:t>
      </w:r>
      <w:r w:rsidR="0005602E">
        <w:rPr>
          <w:rFonts w:cs="Times New Roman"/>
          <w:szCs w:val="24"/>
        </w:rPr>
        <w:t>sa gestion.</w:t>
      </w:r>
    </w:p>
    <w:p w:rsidR="00EC2073" w:rsidRDefault="00EC2073" w:rsidP="0005602E">
      <w:pPr>
        <w:ind w:firstLine="720"/>
        <w:rPr>
          <w:rFonts w:cs="Times New Roman"/>
          <w:szCs w:val="24"/>
        </w:rPr>
      </w:pPr>
      <w:r>
        <w:rPr>
          <w:rFonts w:cs="Times New Roman"/>
          <w:szCs w:val="24"/>
        </w:rPr>
        <w:t xml:space="preserve">Dans le second chapitre, réparti en deux sections également, nous verrons </w:t>
      </w:r>
      <w:r w:rsidR="0005602E">
        <w:rPr>
          <w:rFonts w:cs="Times New Roman"/>
          <w:szCs w:val="24"/>
        </w:rPr>
        <w:t>d’</w:t>
      </w:r>
      <w:r>
        <w:rPr>
          <w:rFonts w:cs="Times New Roman"/>
          <w:szCs w:val="24"/>
        </w:rPr>
        <w:t xml:space="preserve">abord les </w:t>
      </w:r>
      <w:r w:rsidR="0005602E">
        <w:rPr>
          <w:rFonts w:cs="Times New Roman"/>
          <w:szCs w:val="24"/>
        </w:rPr>
        <w:t>indicateurs qui mesurent cette surliquidité,  illustré  par un exemple de comparaison, puis n</w:t>
      </w:r>
      <w:r>
        <w:rPr>
          <w:rFonts w:cs="Times New Roman"/>
          <w:szCs w:val="24"/>
        </w:rPr>
        <w:t xml:space="preserve">ous </w:t>
      </w:r>
      <w:r w:rsidR="0005602E">
        <w:rPr>
          <w:rFonts w:cs="Times New Roman"/>
          <w:szCs w:val="24"/>
        </w:rPr>
        <w:t>passerons à la présentation de ses caractéristiques et ses conséquences.</w:t>
      </w:r>
    </w:p>
    <w:p w:rsidR="00C05CEC" w:rsidRDefault="00EC2073" w:rsidP="0005602E">
      <w:pPr>
        <w:ind w:firstLine="720"/>
        <w:rPr>
          <w:rFonts w:cs="Times New Roman"/>
          <w:szCs w:val="24"/>
        </w:rPr>
      </w:pPr>
      <w:r>
        <w:rPr>
          <w:rFonts w:cs="Times New Roman"/>
          <w:szCs w:val="24"/>
        </w:rPr>
        <w:t xml:space="preserve">Nous terminons par un troisième chapitre qui a pour objectif d’énumérer les </w:t>
      </w:r>
      <w:r w:rsidR="0005602E">
        <w:rPr>
          <w:rFonts w:cs="Times New Roman"/>
          <w:szCs w:val="24"/>
        </w:rPr>
        <w:t>principaux facteurs</w:t>
      </w:r>
      <w:r>
        <w:rPr>
          <w:rFonts w:cs="Times New Roman"/>
          <w:szCs w:val="24"/>
        </w:rPr>
        <w:t xml:space="preserve"> de </w:t>
      </w:r>
      <w:r w:rsidR="0005602E">
        <w:rPr>
          <w:rFonts w:cs="Times New Roman"/>
          <w:szCs w:val="24"/>
        </w:rPr>
        <w:t>ce déséquilibre monétaire</w:t>
      </w:r>
      <w:r>
        <w:rPr>
          <w:rFonts w:cs="Times New Roman"/>
          <w:szCs w:val="24"/>
        </w:rPr>
        <w:t>,  ainsi que la part des autorités monétaires dans la gestio</w:t>
      </w:r>
      <w:r w:rsidR="00C05CEC">
        <w:rPr>
          <w:rFonts w:cs="Times New Roman"/>
          <w:szCs w:val="24"/>
        </w:rPr>
        <w:t xml:space="preserve">n et la lutte contre cet effet. </w:t>
      </w:r>
    </w:p>
    <w:p w:rsidR="0005602E" w:rsidRPr="00C05CEC" w:rsidRDefault="0005602E" w:rsidP="0005602E">
      <w:pPr>
        <w:ind w:firstLine="720"/>
        <w:rPr>
          <w:rFonts w:cs="Times New Roman"/>
          <w:szCs w:val="24"/>
        </w:rPr>
        <w:sectPr w:rsidR="0005602E" w:rsidRPr="00C05CEC" w:rsidSect="00FC1F62">
          <w:headerReference w:type="default" r:id="rId18"/>
          <w:footerReference w:type="default" r:id="rId19"/>
          <w:type w:val="oddPage"/>
          <w:pgSz w:w="11906" w:h="16838"/>
          <w:pgMar w:top="1417" w:right="1417" w:bottom="1417" w:left="1417" w:header="708" w:footer="708" w:gutter="0"/>
          <w:pgNumType w:start="7"/>
          <w:cols w:space="708"/>
          <w:docGrid w:linePitch="360"/>
        </w:sectPr>
      </w:pPr>
    </w:p>
    <w:p w:rsidR="004018B7" w:rsidRDefault="004018B7" w:rsidP="004018B7">
      <w:pPr>
        <w:pStyle w:val="Titre1"/>
      </w:pPr>
      <w:bookmarkStart w:id="1" w:name="_Toc431979960"/>
      <w:r>
        <w:lastRenderedPageBreak/>
        <w:t xml:space="preserve">CHAPITRE I : </w:t>
      </w:r>
      <w:r w:rsidRPr="00136E74">
        <w:t>Le système bancaire algérien et la notion de la liquidité</w:t>
      </w:r>
      <w:r>
        <w:t>.</w:t>
      </w:r>
      <w:bookmarkEnd w:id="1"/>
    </w:p>
    <w:p w:rsidR="001D5E53" w:rsidRPr="00477374" w:rsidRDefault="005F1DED" w:rsidP="004018B7">
      <w:pPr>
        <w:pStyle w:val="Titre1"/>
      </w:pPr>
      <w:bookmarkStart w:id="2" w:name="_Toc431979961"/>
      <w:r>
        <w:t>Introduction</w:t>
      </w:r>
      <w:bookmarkEnd w:id="2"/>
    </w:p>
    <w:p w:rsidR="001D5E53" w:rsidRPr="0058792C" w:rsidRDefault="001D5E53" w:rsidP="0017044B">
      <w:pPr>
        <w:rPr>
          <w:b/>
          <w:bCs/>
          <w:sz w:val="28"/>
          <w:szCs w:val="28"/>
        </w:rPr>
      </w:pPr>
      <w:r w:rsidRPr="0058792C">
        <w:t>Avant d’aborder la question de la surliquidité bancaire en Algérie, la présentation du système bancaire algérien s’avère indispensable pour comprendre la genèse de ce dernier, sa structure et son évolution.</w:t>
      </w:r>
    </w:p>
    <w:p w:rsidR="001D5E53" w:rsidRPr="0058792C" w:rsidRDefault="001D5E53" w:rsidP="0017044B">
      <w:pPr>
        <w:rPr>
          <w:b/>
          <w:bCs/>
          <w:sz w:val="28"/>
          <w:szCs w:val="28"/>
        </w:rPr>
      </w:pPr>
      <w:r w:rsidRPr="0058792C">
        <w:t>Après l’indépendance, l’Algérie a mis en place un système économique planifié et centralisé, qui est le produit d’un processus réalisé en plusieurs phases.</w:t>
      </w:r>
    </w:p>
    <w:p w:rsidR="001D5E53" w:rsidRPr="0058792C" w:rsidRDefault="001D5E53" w:rsidP="00807890">
      <w:r w:rsidRPr="0058792C">
        <w:t>Dans un autre volet, la banque est appelée quotidiennement à effectuer de multiples et différentes opérations (achat de titres, opération de change, octroi de crédit et collecte de dépôts). De plus, actuellement</w:t>
      </w:r>
      <w:r w:rsidR="00807890">
        <w:t>, elle</w:t>
      </w:r>
      <w:r w:rsidRPr="0058792C">
        <w:t xml:space="preserve"> est considérée comme étant une firme dont les produits vendus sont de plus en plus segmentés.</w:t>
      </w:r>
    </w:p>
    <w:p w:rsidR="001D5E53" w:rsidRPr="0058792C" w:rsidRDefault="001D5E53" w:rsidP="0017044B">
      <w:r w:rsidRPr="0058792C">
        <w:t>En vue de rentabiliser ses fonds, la banque doit gérer d’une manière rationnelle ses avoirs pour éviter les situations d’incapacité de régler ses transactions, et cela pour une concordance parfaite entre ses différents départements et une gestion préventive de sa liquidité.</w:t>
      </w:r>
    </w:p>
    <w:p w:rsidR="00C161AE" w:rsidRDefault="00C161AE" w:rsidP="00984D00">
      <w:pPr>
        <w:pStyle w:val="Titre1"/>
      </w:pPr>
    </w:p>
    <w:p w:rsidR="00C161AE" w:rsidRDefault="00C161AE" w:rsidP="00984D00">
      <w:pPr>
        <w:pStyle w:val="Titre1"/>
      </w:pPr>
    </w:p>
    <w:p w:rsidR="00C161AE" w:rsidRDefault="00C161AE" w:rsidP="00984D00">
      <w:pPr>
        <w:pStyle w:val="Titre1"/>
      </w:pPr>
    </w:p>
    <w:p w:rsidR="00C161AE" w:rsidRDefault="00C161AE" w:rsidP="00984D00">
      <w:pPr>
        <w:pStyle w:val="Titre1"/>
      </w:pPr>
    </w:p>
    <w:p w:rsidR="00C161AE" w:rsidRDefault="00C161AE" w:rsidP="00984D00">
      <w:pPr>
        <w:pStyle w:val="Titre1"/>
      </w:pPr>
    </w:p>
    <w:p w:rsidR="00C161AE" w:rsidRDefault="00C161AE" w:rsidP="00984D00">
      <w:pPr>
        <w:pStyle w:val="Titre1"/>
      </w:pPr>
    </w:p>
    <w:p w:rsidR="00C161AE" w:rsidRDefault="00C161AE" w:rsidP="00984D00">
      <w:pPr>
        <w:pStyle w:val="Titre1"/>
      </w:pPr>
    </w:p>
    <w:p w:rsidR="00C161AE" w:rsidRDefault="00C161AE" w:rsidP="00984D00">
      <w:pPr>
        <w:pStyle w:val="Titre1"/>
      </w:pPr>
    </w:p>
    <w:p w:rsidR="00C161AE" w:rsidRDefault="00C161AE" w:rsidP="00984D00">
      <w:pPr>
        <w:pStyle w:val="Titre1"/>
      </w:pPr>
    </w:p>
    <w:p w:rsidR="001D5E53" w:rsidRDefault="001D5E53" w:rsidP="00984D00">
      <w:pPr>
        <w:pStyle w:val="Titre1"/>
      </w:pPr>
      <w:bookmarkStart w:id="3" w:name="_Toc431979962"/>
      <w:r w:rsidRPr="0058792C">
        <w:lastRenderedPageBreak/>
        <w:t>Section 01 : Le système bancaire algérien</w:t>
      </w:r>
      <w:bookmarkEnd w:id="3"/>
    </w:p>
    <w:p w:rsidR="001D5E53" w:rsidRDefault="001D5E53" w:rsidP="00A179BA">
      <w:pPr>
        <w:rPr>
          <w:b/>
          <w:bCs/>
        </w:rPr>
      </w:pPr>
      <w:r w:rsidRPr="0075119D">
        <w:t xml:space="preserve">Etant donné que le système bancaire algérien est le reflet des choix du modèle de développement et du système économique, son analyse couvre la période qui va de l'indépendance jusqu'à nos jours. Pour des raisons pédagogiques, il apparut préférable de faire une </w:t>
      </w:r>
      <w:r w:rsidR="00A179BA">
        <w:t>présentation</w:t>
      </w:r>
      <w:r w:rsidRPr="0075119D">
        <w:t xml:space="preserve"> qui tienne compte des différentes étapes historiques traversées par le système bancaire.</w:t>
      </w:r>
      <w:r>
        <w:rPr>
          <w:rStyle w:val="Appelnotedebasdep"/>
          <w:rFonts w:cs="Times New Roman"/>
          <w:szCs w:val="24"/>
        </w:rPr>
        <w:footnoteReference w:id="3"/>
      </w:r>
    </w:p>
    <w:p w:rsidR="001D5E53" w:rsidRPr="0058792C" w:rsidRDefault="001D5E53" w:rsidP="00D95740">
      <w:pPr>
        <w:pStyle w:val="Titre1"/>
        <w:numPr>
          <w:ilvl w:val="0"/>
          <w:numId w:val="35"/>
        </w:numPr>
      </w:pPr>
      <w:bookmarkStart w:id="4" w:name="_Toc431979963"/>
      <w:r w:rsidRPr="0058792C">
        <w:t>Evolution historique du système bancaire algérien</w:t>
      </w:r>
      <w:bookmarkEnd w:id="4"/>
    </w:p>
    <w:p w:rsidR="001D5E53" w:rsidRDefault="001D5E53" w:rsidP="0017044B">
      <w:r>
        <w:t>Nous jugeons</w:t>
      </w:r>
      <w:r w:rsidRPr="0058792C">
        <w:t xml:space="preserve"> important de</w:t>
      </w:r>
      <w:r>
        <w:t xml:space="preserve"> faire un petit rappel historique sue l’évolution du système bancaire algérien, pour pouvoir donner</w:t>
      </w:r>
      <w:r w:rsidRPr="0058792C">
        <w:t xml:space="preserve"> un aperçu </w:t>
      </w:r>
      <w:r>
        <w:t>du</w:t>
      </w:r>
      <w:r w:rsidRPr="0058792C">
        <w:t xml:space="preserve"> contexte dans lequel a évolué la banque </w:t>
      </w:r>
      <w:r>
        <w:t xml:space="preserve">algérienne </w:t>
      </w:r>
      <w:r w:rsidRPr="0058792C">
        <w:t>de</w:t>
      </w:r>
      <w:r>
        <w:t>puis l’indépendance jusqu’à</w:t>
      </w:r>
      <w:r w:rsidRPr="0058792C">
        <w:t xml:space="preserve"> nos jours. C’est le </w:t>
      </w:r>
      <w:r>
        <w:t>résultat</w:t>
      </w:r>
      <w:r w:rsidRPr="0058792C">
        <w:t xml:space="preserve"> d’un processus qui s’est réalisé en plusieurs étapes.</w:t>
      </w:r>
      <w:r w:rsidRPr="0058792C">
        <w:rPr>
          <w:rStyle w:val="Appelnotedebasdep"/>
          <w:rFonts w:cs="Times New Roman"/>
          <w:szCs w:val="24"/>
        </w:rPr>
        <w:footnoteReference w:id="4"/>
      </w:r>
    </w:p>
    <w:p w:rsidR="001D5E53" w:rsidRPr="0058792C" w:rsidRDefault="00A179BA" w:rsidP="00A179BA">
      <w:pPr>
        <w:pStyle w:val="Titre2"/>
      </w:pPr>
      <w:bookmarkStart w:id="5" w:name="_Toc431979964"/>
      <w:r>
        <w:t>1.</w:t>
      </w:r>
      <w:r w:rsidR="001D5E53" w:rsidRPr="0058792C">
        <w:t>1  De l'indépendance à 1966</w:t>
      </w:r>
      <w:bookmarkEnd w:id="5"/>
    </w:p>
    <w:p w:rsidR="001D5E53" w:rsidRPr="0058792C" w:rsidRDefault="007B0A18" w:rsidP="001D5E53">
      <w:r>
        <w:t>Après la création de la Banque Centrale d’Algérie, les</w:t>
      </w:r>
      <w:r w:rsidR="001D5E53" w:rsidRPr="0058792C">
        <w:t xml:space="preserve"> actions vont dans le </w:t>
      </w:r>
      <w:r w:rsidR="00AC2B20" w:rsidRPr="0058792C">
        <w:t>sens de</w:t>
      </w:r>
      <w:r w:rsidR="001D5E53" w:rsidRPr="0058792C">
        <w:t xml:space="preserve"> mise en place de nouveaux instruments </w:t>
      </w:r>
      <w:r w:rsidR="001D5E53">
        <w:t>à</w:t>
      </w:r>
      <w:r w:rsidR="001D5E53" w:rsidRPr="0058792C">
        <w:t xml:space="preserve"> partir d'institution</w:t>
      </w:r>
      <w:r w:rsidR="001D5E53">
        <w:t>s</w:t>
      </w:r>
      <w:r w:rsidR="001D5E53" w:rsidRPr="0058792C">
        <w:t xml:space="preserve"> existantes; l'un</w:t>
      </w:r>
      <w:r w:rsidR="001D5E53">
        <w:t>e</w:t>
      </w:r>
      <w:r w:rsidR="001D5E53" w:rsidRPr="0058792C">
        <w:t xml:space="preserve"> chargé</w:t>
      </w:r>
      <w:r w:rsidR="001D5E53">
        <w:t>e</w:t>
      </w:r>
      <w:r w:rsidR="001D5E53" w:rsidRPr="0058792C">
        <w:t xml:space="preserve"> d</w:t>
      </w:r>
      <w:r w:rsidR="001D5E53">
        <w:t>e</w:t>
      </w:r>
      <w:r w:rsidR="001D5E53" w:rsidRPr="0058792C">
        <w:t xml:space="preserve"> financement du développement,</w:t>
      </w:r>
      <w:r w:rsidR="001D5E53">
        <w:t xml:space="preserve"> notamment</w:t>
      </w:r>
      <w:r w:rsidR="001D5E53" w:rsidRPr="0058792C">
        <w:t xml:space="preserve"> la Caisse Algérienne de </w:t>
      </w:r>
      <w:r w:rsidR="001D5E53">
        <w:t>D</w:t>
      </w:r>
      <w:r w:rsidR="001D5E53" w:rsidRPr="0058792C">
        <w:t xml:space="preserve">éveloppement « CAD » et l'autre, de la mobilisation de l'épargne, </w:t>
      </w:r>
      <w:r w:rsidR="001D5E53">
        <w:t xml:space="preserve">la </w:t>
      </w:r>
      <w:r w:rsidR="001D5E53" w:rsidRPr="0058792C">
        <w:t>Caisse Nationale d'Epargne et de Prévoyance « CNEP».</w:t>
      </w:r>
    </w:p>
    <w:p w:rsidR="001D5E53" w:rsidRPr="0058792C" w:rsidRDefault="001D5E53" w:rsidP="00D95740">
      <w:pPr>
        <w:pStyle w:val="Titre3"/>
        <w:numPr>
          <w:ilvl w:val="2"/>
          <w:numId w:val="35"/>
        </w:numPr>
      </w:pPr>
      <w:bookmarkStart w:id="6" w:name="_Toc431979965"/>
      <w:r w:rsidRPr="0058792C">
        <w:t>La création de la</w:t>
      </w:r>
      <w:r>
        <w:t xml:space="preserve"> Banque Centrale d’Algérie</w:t>
      </w:r>
      <w:r w:rsidRPr="0058792C">
        <w:t xml:space="preserve"> « BCA » </w:t>
      </w:r>
      <w:bookmarkEnd w:id="6"/>
    </w:p>
    <w:p w:rsidR="001D5E53" w:rsidRDefault="001D5E53" w:rsidP="001D5E53">
      <w:r w:rsidRPr="003642C2">
        <w:t xml:space="preserve">Dès le lendemain de l'indépendance, l'Algérie a </w:t>
      </w:r>
      <w:r>
        <w:t>repris</w:t>
      </w:r>
      <w:r w:rsidRPr="003642C2">
        <w:t xml:space="preserve"> sa souveraineté monétaire, en créant son propre institut d'émission dénommé « Banque Central</w:t>
      </w:r>
      <w:r>
        <w:t xml:space="preserve">e d'Algérie » </w:t>
      </w:r>
      <w:r w:rsidRPr="0058792C">
        <w:t>créée par la loi, n° 62-144 du 13 /12/1962, afin de créer et de maintenir, par le crédit et les échanges, les conditions favorables à un développement économique national</w:t>
      </w:r>
      <w:r w:rsidR="000E7486">
        <w:t xml:space="preserve"> </w:t>
      </w:r>
      <w:r w:rsidRPr="0058792C">
        <w:t>dans le domaine de la monnaie.</w:t>
      </w:r>
      <w:r w:rsidR="000E7486">
        <w:t xml:space="preserve"> </w:t>
      </w:r>
      <w:r w:rsidRPr="0058792C">
        <w:t>Elle a pour fonctions principales :</w:t>
      </w:r>
    </w:p>
    <w:p w:rsidR="001D5E53" w:rsidRDefault="001D5E53" w:rsidP="009C708D">
      <w:pPr>
        <w:pStyle w:val="Paragraphedeliste"/>
        <w:numPr>
          <w:ilvl w:val="0"/>
          <w:numId w:val="11"/>
        </w:numPr>
        <w:spacing w:before="100" w:beforeAutospacing="1" w:after="100" w:afterAutospacing="1"/>
        <w:rPr>
          <w:rFonts w:cs="Times New Roman"/>
          <w:szCs w:val="24"/>
        </w:rPr>
      </w:pPr>
      <w:r>
        <w:rPr>
          <w:rFonts w:cs="Times New Roman"/>
          <w:szCs w:val="24"/>
        </w:rPr>
        <w:t>D</w:t>
      </w:r>
      <w:r w:rsidRPr="00B45456">
        <w:rPr>
          <w:rFonts w:cs="Times New Roman"/>
          <w:szCs w:val="24"/>
        </w:rPr>
        <w:t>'émettre des billets de banque et réguler la circulation monétaire ;</w:t>
      </w:r>
    </w:p>
    <w:p w:rsidR="001D5E53" w:rsidRDefault="001D5E53" w:rsidP="009C708D">
      <w:pPr>
        <w:pStyle w:val="Paragraphedeliste"/>
        <w:numPr>
          <w:ilvl w:val="0"/>
          <w:numId w:val="11"/>
        </w:numPr>
        <w:spacing w:before="100" w:beforeAutospacing="1" w:after="100" w:afterAutospacing="1"/>
        <w:rPr>
          <w:rFonts w:cs="Times New Roman"/>
          <w:szCs w:val="24"/>
        </w:rPr>
      </w:pPr>
      <w:r w:rsidRPr="00B45456">
        <w:rPr>
          <w:rFonts w:cs="Times New Roman"/>
          <w:szCs w:val="24"/>
        </w:rPr>
        <w:t>De diriger et contrôler la distribution du crédit ;</w:t>
      </w:r>
    </w:p>
    <w:p w:rsidR="001D5E53" w:rsidRDefault="001D5E53" w:rsidP="009C708D">
      <w:pPr>
        <w:pStyle w:val="Paragraphedeliste"/>
        <w:numPr>
          <w:ilvl w:val="0"/>
          <w:numId w:val="11"/>
        </w:numPr>
        <w:spacing w:before="100" w:beforeAutospacing="1" w:after="100" w:afterAutospacing="1"/>
        <w:rPr>
          <w:rFonts w:cs="Times New Roman"/>
          <w:szCs w:val="24"/>
        </w:rPr>
      </w:pPr>
      <w:r w:rsidRPr="00B45456">
        <w:rPr>
          <w:rFonts w:cs="Times New Roman"/>
          <w:szCs w:val="24"/>
        </w:rPr>
        <w:t xml:space="preserve">D'acheter et de vendre de l'or </w:t>
      </w:r>
      <w:r>
        <w:rPr>
          <w:rFonts w:cs="Times New Roman"/>
          <w:szCs w:val="24"/>
        </w:rPr>
        <w:t xml:space="preserve">et </w:t>
      </w:r>
      <w:r w:rsidRPr="00B45456">
        <w:rPr>
          <w:rFonts w:cs="Times New Roman"/>
          <w:szCs w:val="24"/>
        </w:rPr>
        <w:t>de la devise ;</w:t>
      </w:r>
    </w:p>
    <w:p w:rsidR="001D5E53" w:rsidRDefault="001D5E53" w:rsidP="009C708D">
      <w:pPr>
        <w:pStyle w:val="Paragraphedeliste"/>
        <w:numPr>
          <w:ilvl w:val="0"/>
          <w:numId w:val="11"/>
        </w:numPr>
        <w:spacing w:before="100" w:beforeAutospacing="1" w:after="100" w:afterAutospacing="1"/>
        <w:rPr>
          <w:rFonts w:cs="Times New Roman"/>
          <w:szCs w:val="24"/>
        </w:rPr>
      </w:pPr>
      <w:r w:rsidRPr="00B45456">
        <w:rPr>
          <w:rFonts w:cs="Times New Roman"/>
          <w:szCs w:val="24"/>
        </w:rPr>
        <w:lastRenderedPageBreak/>
        <w:t xml:space="preserve">D'accorder des concours à l'Etat sous forme d'escomptes d'obligations cautionnées souscrites à l'ordre du trésor, </w:t>
      </w:r>
      <w:r>
        <w:rPr>
          <w:rFonts w:cs="Times New Roman"/>
          <w:szCs w:val="24"/>
        </w:rPr>
        <w:t>ou</w:t>
      </w:r>
      <w:r w:rsidRPr="00B45456">
        <w:rPr>
          <w:rFonts w:cs="Times New Roman"/>
          <w:szCs w:val="24"/>
        </w:rPr>
        <w:t xml:space="preserve"> d'avances pures et simples consenties à ce dernier ;</w:t>
      </w:r>
    </w:p>
    <w:p w:rsidR="001D5E53" w:rsidRDefault="001D5E53" w:rsidP="009C708D">
      <w:pPr>
        <w:pStyle w:val="Paragraphedeliste"/>
        <w:numPr>
          <w:ilvl w:val="0"/>
          <w:numId w:val="11"/>
        </w:numPr>
        <w:spacing w:before="100" w:beforeAutospacing="1" w:after="100" w:afterAutospacing="1"/>
        <w:rPr>
          <w:rFonts w:cs="Times New Roman"/>
          <w:szCs w:val="24"/>
        </w:rPr>
      </w:pPr>
      <w:r w:rsidRPr="00B45456">
        <w:rPr>
          <w:rFonts w:cs="Times New Roman"/>
          <w:szCs w:val="24"/>
        </w:rPr>
        <w:t>De placer et gérer les réserves des changes du pays ;</w:t>
      </w:r>
    </w:p>
    <w:p w:rsidR="001D5E53" w:rsidRPr="00B45456" w:rsidRDefault="001D5E53" w:rsidP="009C708D">
      <w:pPr>
        <w:pStyle w:val="Paragraphedeliste"/>
        <w:numPr>
          <w:ilvl w:val="0"/>
          <w:numId w:val="11"/>
        </w:numPr>
        <w:spacing w:before="100" w:beforeAutospacing="1" w:after="100" w:afterAutospacing="1"/>
        <w:rPr>
          <w:rFonts w:cs="Times New Roman"/>
          <w:szCs w:val="24"/>
        </w:rPr>
      </w:pPr>
      <w:r w:rsidRPr="00B45456">
        <w:rPr>
          <w:rFonts w:cs="Times New Roman"/>
          <w:szCs w:val="24"/>
        </w:rPr>
        <w:t>D'autoriser sous forme de Licence, les importations et exportations des opérateurs nationaux publics ou privés.</w:t>
      </w:r>
    </w:p>
    <w:p w:rsidR="001D5E53" w:rsidRPr="0058792C" w:rsidRDefault="007B0A18" w:rsidP="007B0A18">
      <w:pPr>
        <w:pStyle w:val="Titre3"/>
        <w:numPr>
          <w:ilvl w:val="0"/>
          <w:numId w:val="0"/>
        </w:numPr>
        <w:ind w:left="720"/>
      </w:pPr>
      <w:bookmarkStart w:id="7" w:name="_Toc431979966"/>
      <w:r>
        <w:t>1.1.2</w:t>
      </w:r>
      <w:r w:rsidR="001D5E53" w:rsidRPr="0058792C">
        <w:t xml:space="preserve"> La Caisse Algérienne de Développement </w:t>
      </w:r>
      <w:r w:rsidR="001D5E53">
        <w:t xml:space="preserve">« CAD » </w:t>
      </w:r>
      <w:bookmarkEnd w:id="7"/>
    </w:p>
    <w:p w:rsidR="001D5E53" w:rsidRPr="0058792C" w:rsidRDefault="001D5E53" w:rsidP="001D5E53">
      <w:r w:rsidRPr="0058792C">
        <w:t xml:space="preserve">Après la naissance de la Banque Centrale d'Algérie, la Caisse Algérienne de Développement « CAD », </w:t>
      </w:r>
      <w:r>
        <w:t xml:space="preserve">fut créée </w:t>
      </w:r>
      <w:r w:rsidR="007B0A18">
        <w:t>le 07</w:t>
      </w:r>
      <w:r w:rsidRPr="0058792C">
        <w:t xml:space="preserve">/05/1963 par la loi n°63-165, </w:t>
      </w:r>
      <w:r>
        <w:t xml:space="preserve">un </w:t>
      </w:r>
      <w:r w:rsidRPr="0058792C">
        <w:t>établissement financier chargé notamment du financement des programmes d'investissements publics et</w:t>
      </w:r>
      <w:r>
        <w:t xml:space="preserve"> des programmes d'importations. Cet établissement </w:t>
      </w:r>
      <w:r w:rsidRPr="0058792C">
        <w:t xml:space="preserve"> reprend les tâches des</w:t>
      </w:r>
      <w:r w:rsidR="007E14E3">
        <w:t xml:space="preserve"> </w:t>
      </w:r>
      <w:r w:rsidRPr="0058792C">
        <w:t>organismes françai</w:t>
      </w:r>
      <w:r>
        <w:t>s a</w:t>
      </w:r>
      <w:r w:rsidRPr="0058792C">
        <w:t xml:space="preserve">yant cessé leurs activités </w:t>
      </w:r>
      <w:r>
        <w:t>après l’indépendance</w:t>
      </w:r>
      <w:r w:rsidRPr="0058792C">
        <w:t>:</w:t>
      </w:r>
    </w:p>
    <w:p w:rsidR="00136E74" w:rsidRDefault="001D5E53" w:rsidP="00D95740">
      <w:pPr>
        <w:pStyle w:val="Paragraphedeliste"/>
        <w:numPr>
          <w:ilvl w:val="0"/>
          <w:numId w:val="19"/>
        </w:numPr>
        <w:spacing w:before="100" w:beforeAutospacing="1" w:after="100" w:afterAutospacing="1"/>
        <w:rPr>
          <w:rFonts w:cs="Times New Roman"/>
          <w:szCs w:val="24"/>
        </w:rPr>
      </w:pPr>
      <w:r w:rsidRPr="00136E74">
        <w:rPr>
          <w:rFonts w:cs="Times New Roman"/>
          <w:szCs w:val="24"/>
        </w:rPr>
        <w:t>Le Crédit Foncier de France ;</w:t>
      </w:r>
    </w:p>
    <w:p w:rsidR="007B0A18" w:rsidRDefault="007B0A18" w:rsidP="00D95740">
      <w:pPr>
        <w:pStyle w:val="Paragraphedeliste"/>
        <w:numPr>
          <w:ilvl w:val="0"/>
          <w:numId w:val="19"/>
        </w:numPr>
        <w:spacing w:before="100" w:beforeAutospacing="1" w:after="100" w:afterAutospacing="1"/>
        <w:rPr>
          <w:rFonts w:cs="Times New Roman"/>
          <w:szCs w:val="24"/>
        </w:rPr>
      </w:pPr>
      <w:r>
        <w:rPr>
          <w:rFonts w:cs="Times New Roman"/>
          <w:szCs w:val="24"/>
        </w:rPr>
        <w:t>Le Crédit National ;</w:t>
      </w:r>
    </w:p>
    <w:p w:rsidR="00136E74" w:rsidRDefault="001D5E53" w:rsidP="00D95740">
      <w:pPr>
        <w:pStyle w:val="Paragraphedeliste"/>
        <w:numPr>
          <w:ilvl w:val="0"/>
          <w:numId w:val="19"/>
        </w:numPr>
        <w:spacing w:before="100" w:beforeAutospacing="1" w:after="100" w:afterAutospacing="1"/>
        <w:rPr>
          <w:rFonts w:cs="Times New Roman"/>
          <w:szCs w:val="24"/>
        </w:rPr>
      </w:pPr>
      <w:r w:rsidRPr="00136E74">
        <w:rPr>
          <w:rFonts w:cs="Times New Roman"/>
          <w:szCs w:val="24"/>
        </w:rPr>
        <w:t>La Caisse des Dépôts et Consignations ;</w:t>
      </w:r>
    </w:p>
    <w:p w:rsidR="00136E74" w:rsidRDefault="001D5E53" w:rsidP="00D95740">
      <w:pPr>
        <w:pStyle w:val="Paragraphedeliste"/>
        <w:numPr>
          <w:ilvl w:val="0"/>
          <w:numId w:val="19"/>
        </w:numPr>
        <w:spacing w:before="100" w:beforeAutospacing="1" w:after="100" w:afterAutospacing="1"/>
        <w:rPr>
          <w:rFonts w:cs="Times New Roman"/>
          <w:szCs w:val="24"/>
        </w:rPr>
      </w:pPr>
      <w:r w:rsidRPr="00136E74">
        <w:rPr>
          <w:rFonts w:cs="Times New Roman"/>
          <w:szCs w:val="24"/>
        </w:rPr>
        <w:t>La Caisse Nationale des Marchés de l'Etat ;</w:t>
      </w:r>
    </w:p>
    <w:p w:rsidR="001D5E53" w:rsidRPr="00136E74" w:rsidRDefault="001D5E53" w:rsidP="00D95740">
      <w:pPr>
        <w:pStyle w:val="Paragraphedeliste"/>
        <w:numPr>
          <w:ilvl w:val="0"/>
          <w:numId w:val="19"/>
        </w:numPr>
        <w:spacing w:before="100" w:beforeAutospacing="1" w:after="100" w:afterAutospacing="1"/>
        <w:rPr>
          <w:rFonts w:cs="Times New Roman"/>
          <w:szCs w:val="24"/>
        </w:rPr>
      </w:pPr>
      <w:r w:rsidRPr="00136E74">
        <w:rPr>
          <w:rFonts w:cs="Times New Roman"/>
          <w:szCs w:val="24"/>
        </w:rPr>
        <w:t xml:space="preserve">Et surtout la Caisse d'Equipements et de Développement de l'Algérie « CEDA ». </w:t>
      </w:r>
    </w:p>
    <w:p w:rsidR="001D5E53" w:rsidRPr="0058792C" w:rsidRDefault="001D5E53" w:rsidP="007B0A18">
      <w:pPr>
        <w:spacing w:before="100" w:beforeAutospacing="1" w:after="100" w:afterAutospacing="1"/>
        <w:rPr>
          <w:rFonts w:cs="Times New Roman"/>
          <w:szCs w:val="24"/>
        </w:rPr>
      </w:pPr>
      <w:r w:rsidRPr="0058792C">
        <w:rPr>
          <w:rFonts w:cs="Times New Roman"/>
          <w:szCs w:val="24"/>
        </w:rPr>
        <w:t xml:space="preserve">La CAD est devenu </w:t>
      </w:r>
      <w:r>
        <w:rPr>
          <w:rFonts w:cs="Times New Roman"/>
          <w:szCs w:val="24"/>
        </w:rPr>
        <w:t>la</w:t>
      </w:r>
      <w:r w:rsidRPr="0058792C">
        <w:rPr>
          <w:rFonts w:cs="Times New Roman"/>
          <w:szCs w:val="24"/>
        </w:rPr>
        <w:t xml:space="preserve"> Banque Algérienne de Développement « BAD » </w:t>
      </w:r>
      <w:r w:rsidR="007B0A18">
        <w:rPr>
          <w:rFonts w:cs="Times New Roman"/>
          <w:szCs w:val="24"/>
        </w:rPr>
        <w:t>en Mai 1972.</w:t>
      </w:r>
    </w:p>
    <w:p w:rsidR="001D5E53" w:rsidRPr="0058792C" w:rsidRDefault="007B0A18" w:rsidP="007B0A18">
      <w:pPr>
        <w:pStyle w:val="Titre3"/>
        <w:numPr>
          <w:ilvl w:val="0"/>
          <w:numId w:val="0"/>
        </w:numPr>
        <w:ind w:left="720"/>
      </w:pPr>
      <w:bookmarkStart w:id="8" w:name="_Toc431979967"/>
      <w:r>
        <w:t>1.1.3</w:t>
      </w:r>
      <w:r w:rsidR="001D5E53" w:rsidRPr="0058792C">
        <w:t xml:space="preserve"> La Caisse Nationale d'Epargne et de Prévoyance « CNEP » </w:t>
      </w:r>
      <w:bookmarkEnd w:id="8"/>
    </w:p>
    <w:p w:rsidR="001D5E53" w:rsidRPr="00F51A9D" w:rsidRDefault="001D5E53" w:rsidP="001D5E53">
      <w:r w:rsidRPr="0058792C">
        <w:t>La CNEP fut créée pour la collecte de l'épargne par la loi n°64-227 du 10/08/1964, sous forme d'</w:t>
      </w:r>
      <w:r>
        <w:t xml:space="preserve">un </w:t>
      </w:r>
      <w:r w:rsidRPr="0058792C">
        <w:t>établissement public jouissant de la personnalité juridique et de l'autonomie financière ; dont la mission consiste essentiellement à collecter l'épargne dégagée par les revenus moyens, afin de les distribuer à la constitution des logements.</w:t>
      </w:r>
      <w:r w:rsidR="00464FB4">
        <w:t xml:space="preserve"> </w:t>
      </w:r>
      <w:r w:rsidRPr="0058792C">
        <w:rPr>
          <w:rFonts w:cs="Times New Roman"/>
          <w:szCs w:val="24"/>
        </w:rPr>
        <w:t>Les trois principaux domaines d'intervention de la CNEP sont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La mobilisation de l'épargne et son investissement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La gestion des fonds spéciaux des collectivités locales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La mise en œuvre d'une stratégie de relance des actions de collecte des ressources.</w:t>
      </w:r>
    </w:p>
    <w:p w:rsidR="001D5E53" w:rsidRPr="0058792C" w:rsidRDefault="007B0A18" w:rsidP="007B0A18">
      <w:pPr>
        <w:pStyle w:val="Titre2"/>
      </w:pPr>
      <w:bookmarkStart w:id="9" w:name="_Toc431979968"/>
      <w:r>
        <w:lastRenderedPageBreak/>
        <w:t>1.</w:t>
      </w:r>
      <w:r w:rsidR="001D5E53" w:rsidRPr="0058792C">
        <w:t>2  La période 1966-1970 :</w:t>
      </w:r>
      <w:bookmarkEnd w:id="9"/>
    </w:p>
    <w:p w:rsidR="001D5E53" w:rsidRPr="0058792C" w:rsidRDefault="001D5E53" w:rsidP="001D5E53">
      <w:pPr>
        <w:spacing w:before="100" w:beforeAutospacing="1" w:after="100" w:afterAutospacing="1"/>
        <w:rPr>
          <w:rFonts w:cs="Times New Roman"/>
          <w:szCs w:val="24"/>
        </w:rPr>
      </w:pPr>
      <w:r w:rsidRPr="0058792C">
        <w:rPr>
          <w:rFonts w:cs="Times New Roman"/>
          <w:szCs w:val="24"/>
        </w:rPr>
        <w:t>Durant cette période, l'Algérie a opté pour la création d'un système bancaire classique composé des banques commerciales algériennes qui</w:t>
      </w:r>
      <w:r>
        <w:rPr>
          <w:rFonts w:cs="Times New Roman"/>
          <w:szCs w:val="24"/>
        </w:rPr>
        <w:t>,</w:t>
      </w:r>
      <w:r w:rsidRPr="0058792C">
        <w:rPr>
          <w:rFonts w:cs="Times New Roman"/>
          <w:szCs w:val="24"/>
        </w:rPr>
        <w:t xml:space="preserve"> pour la plupart</w:t>
      </w:r>
      <w:r>
        <w:rPr>
          <w:rFonts w:cs="Times New Roman"/>
          <w:szCs w:val="24"/>
        </w:rPr>
        <w:t>,</w:t>
      </w:r>
      <w:r w:rsidRPr="0058792C">
        <w:rPr>
          <w:rFonts w:cs="Times New Roman"/>
          <w:szCs w:val="24"/>
        </w:rPr>
        <w:t xml:space="preserve"> ont vu le jour à la faveur des mesures de reprise des banques étrangères décidées durant cette période (</w:t>
      </w:r>
      <w:r>
        <w:rPr>
          <w:rFonts w:cs="Times New Roman"/>
          <w:szCs w:val="24"/>
        </w:rPr>
        <w:t>n</w:t>
      </w:r>
      <w:r w:rsidRPr="0058792C">
        <w:rPr>
          <w:rFonts w:cs="Times New Roman"/>
          <w:szCs w:val="24"/>
        </w:rPr>
        <w:t>ationalisation des banques étrangères).</w:t>
      </w:r>
    </w:p>
    <w:p w:rsidR="001D5E53" w:rsidRPr="0058792C" w:rsidRDefault="001D5E53" w:rsidP="001D5E53">
      <w:pPr>
        <w:spacing w:before="100" w:beforeAutospacing="1" w:after="100" w:afterAutospacing="1"/>
        <w:rPr>
          <w:rFonts w:cs="Times New Roman"/>
          <w:szCs w:val="24"/>
        </w:rPr>
      </w:pPr>
      <w:r w:rsidRPr="0058792C">
        <w:rPr>
          <w:rFonts w:cs="Times New Roman"/>
          <w:szCs w:val="24"/>
        </w:rPr>
        <w:t>Ce système bancaire classique sera achevé par la création du Crédit Populaire d'Algérie « CPA », la Banque Nationale d'Algérie « BNA » et la transformation des banques privées é</w:t>
      </w:r>
      <w:r w:rsidR="00762D2B">
        <w:rPr>
          <w:rFonts w:cs="Times New Roman"/>
          <w:szCs w:val="24"/>
        </w:rPr>
        <w:t xml:space="preserve">trangères en banques nationales, en l’occurrence, la BNA, le CPA et la BEA. </w:t>
      </w:r>
    </w:p>
    <w:p w:rsidR="001D5E53" w:rsidRPr="0058792C" w:rsidRDefault="001D5E53" w:rsidP="00D95740">
      <w:pPr>
        <w:pStyle w:val="Titre3"/>
        <w:numPr>
          <w:ilvl w:val="2"/>
          <w:numId w:val="36"/>
        </w:numPr>
      </w:pPr>
      <w:bookmarkStart w:id="10" w:name="_Toc431979969"/>
      <w:r w:rsidRPr="0058792C">
        <w:t>La Banque Nationale d'Algérie « BNA »</w:t>
      </w:r>
      <w:bookmarkEnd w:id="10"/>
    </w:p>
    <w:p w:rsidR="001D5E53" w:rsidRPr="0058792C" w:rsidRDefault="001D5E53" w:rsidP="001D5E53">
      <w:pPr>
        <w:spacing w:before="100" w:beforeAutospacing="1" w:after="100" w:afterAutospacing="1"/>
        <w:rPr>
          <w:rFonts w:cs="Times New Roman"/>
          <w:szCs w:val="24"/>
        </w:rPr>
      </w:pPr>
      <w:r w:rsidRPr="0058792C">
        <w:rPr>
          <w:rFonts w:cs="Times New Roman"/>
          <w:szCs w:val="24"/>
        </w:rPr>
        <w:t xml:space="preserve">La BNA a été créée par l'ordonnance n°66-178 le 13 juin 1966, afin de répondre aux besoins financiers portant </w:t>
      </w:r>
      <w:r>
        <w:rPr>
          <w:rFonts w:cs="Times New Roman"/>
          <w:szCs w:val="24"/>
        </w:rPr>
        <w:t>sur les</w:t>
      </w:r>
      <w:r w:rsidRPr="0058792C">
        <w:rPr>
          <w:rFonts w:cs="Times New Roman"/>
          <w:szCs w:val="24"/>
        </w:rPr>
        <w:t xml:space="preserve"> secteurs publics et socialistes.</w:t>
      </w:r>
    </w:p>
    <w:p w:rsidR="001D5E53" w:rsidRPr="0058792C" w:rsidRDefault="001D5E53" w:rsidP="001D5E53">
      <w:pPr>
        <w:spacing w:before="100" w:beforeAutospacing="1" w:after="100" w:afterAutospacing="1"/>
        <w:rPr>
          <w:rFonts w:cs="Times New Roman"/>
          <w:szCs w:val="24"/>
        </w:rPr>
      </w:pPr>
      <w:r w:rsidRPr="0058792C">
        <w:rPr>
          <w:rFonts w:cs="Times New Roman"/>
          <w:szCs w:val="24"/>
        </w:rPr>
        <w:t>La BNA a démarré ses activités sur la base des structures des banques privées ayant cessé leurs activités en Algérie comme</w:t>
      </w:r>
      <w:r w:rsidR="00762D2B">
        <w:rPr>
          <w:rStyle w:val="Appelnotedebasdep"/>
          <w:rFonts w:cs="Times New Roman"/>
          <w:szCs w:val="24"/>
        </w:rPr>
        <w:footnoteReference w:id="5"/>
      </w:r>
      <w:r w:rsidRPr="0058792C">
        <w:rPr>
          <w:rFonts w:cs="Times New Roman"/>
          <w:szCs w:val="24"/>
        </w:rPr>
        <w:t xml:space="preserve">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Le crédit foncier d'Algérie et de Tunisie « CFAT »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La banque nationale pour le commerce et l'industrie « BNCI »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Le crédit industriel et commercial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La banque de Paris et des Pays-Bas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Le comptoir d'escompte de Mascara.</w:t>
      </w:r>
    </w:p>
    <w:p w:rsidR="001D5E53" w:rsidRPr="0058792C" w:rsidRDefault="001D5E53" w:rsidP="001D5E53">
      <w:pPr>
        <w:spacing w:before="100" w:beforeAutospacing="1" w:after="100" w:afterAutospacing="1"/>
        <w:rPr>
          <w:rFonts w:cs="Times New Roman"/>
          <w:szCs w:val="24"/>
        </w:rPr>
      </w:pPr>
      <w:r w:rsidRPr="0058792C">
        <w:rPr>
          <w:rFonts w:cs="Times New Roman"/>
          <w:szCs w:val="24"/>
        </w:rPr>
        <w:t>La BNA est un instrument de planification financière. Elle est chargée d'exécuter la politique du gouvernement en matière de crédit à court terme.</w:t>
      </w:r>
    </w:p>
    <w:p w:rsidR="001D5E53" w:rsidRPr="0058792C" w:rsidRDefault="00762D2B" w:rsidP="00762D2B">
      <w:pPr>
        <w:pStyle w:val="Titre3"/>
        <w:numPr>
          <w:ilvl w:val="0"/>
          <w:numId w:val="0"/>
        </w:numPr>
        <w:ind w:left="426"/>
      </w:pPr>
      <w:bookmarkStart w:id="11" w:name="_Toc431979970"/>
      <w:r>
        <w:t>1.2.2</w:t>
      </w:r>
      <w:r w:rsidR="001D5E53" w:rsidRPr="0058792C">
        <w:t xml:space="preserve">  Le Crédit Populaire d'Algérie « CPA » </w:t>
      </w:r>
      <w:bookmarkEnd w:id="11"/>
    </w:p>
    <w:p w:rsidR="001D5E53" w:rsidRPr="0058792C" w:rsidRDefault="001D5E53" w:rsidP="00762D2B">
      <w:pPr>
        <w:spacing w:before="100" w:beforeAutospacing="1" w:after="100" w:afterAutospacing="1"/>
        <w:rPr>
          <w:rFonts w:cs="Times New Roman"/>
          <w:szCs w:val="24"/>
        </w:rPr>
      </w:pPr>
      <w:r w:rsidRPr="0058792C">
        <w:rPr>
          <w:rFonts w:cs="Times New Roman"/>
          <w:szCs w:val="24"/>
        </w:rPr>
        <w:t>Quelques</w:t>
      </w:r>
      <w:r>
        <w:rPr>
          <w:rFonts w:cs="Times New Roman"/>
          <w:szCs w:val="24"/>
        </w:rPr>
        <w:t xml:space="preserve"> ann</w:t>
      </w:r>
      <w:r w:rsidRPr="00475E5A">
        <w:rPr>
          <w:rFonts w:cs="Times New Roman"/>
          <w:szCs w:val="24"/>
        </w:rPr>
        <w:t>ées</w:t>
      </w:r>
      <w:r w:rsidR="00831B3F">
        <w:rPr>
          <w:rFonts w:cs="Times New Roman"/>
          <w:szCs w:val="24"/>
        </w:rPr>
        <w:t xml:space="preserve"> </w:t>
      </w:r>
      <w:r w:rsidRPr="0058792C">
        <w:rPr>
          <w:rFonts w:cs="Times New Roman"/>
          <w:szCs w:val="24"/>
        </w:rPr>
        <w:t xml:space="preserve">après la création de la BNA, le système bancaire nationale a été renforcé par la mise en place d'un autre intermédiaire financier bancaire : le </w:t>
      </w:r>
      <w:r>
        <w:rPr>
          <w:rFonts w:cs="Times New Roman"/>
          <w:szCs w:val="24"/>
        </w:rPr>
        <w:t>Crédit Populaire d’Algérie (</w:t>
      </w:r>
      <w:r w:rsidRPr="00475E5A">
        <w:rPr>
          <w:rFonts w:cs="Times New Roman"/>
          <w:szCs w:val="24"/>
        </w:rPr>
        <w:t>CPA</w:t>
      </w:r>
      <w:r>
        <w:rPr>
          <w:rFonts w:cs="Times New Roman"/>
          <w:szCs w:val="24"/>
        </w:rPr>
        <w:t>)</w:t>
      </w:r>
      <w:r w:rsidRPr="0058792C">
        <w:rPr>
          <w:rFonts w:cs="Times New Roman"/>
          <w:szCs w:val="24"/>
        </w:rPr>
        <w:t xml:space="preserve">, créé </w:t>
      </w:r>
      <w:r w:rsidR="00762D2B">
        <w:rPr>
          <w:rFonts w:cs="Times New Roman"/>
          <w:szCs w:val="24"/>
        </w:rPr>
        <w:t>par l’</w:t>
      </w:r>
      <w:r w:rsidRPr="0058792C">
        <w:rPr>
          <w:rFonts w:cs="Times New Roman"/>
          <w:szCs w:val="24"/>
        </w:rPr>
        <w:t>ordonnance</w:t>
      </w:r>
      <w:r w:rsidR="00762D2B">
        <w:rPr>
          <w:rFonts w:cs="Times New Roman"/>
          <w:szCs w:val="24"/>
        </w:rPr>
        <w:t xml:space="preserve"> n°66.366 du 29 Décembre 1966.</w:t>
      </w:r>
    </w:p>
    <w:p w:rsidR="001D5E53" w:rsidRPr="0058792C" w:rsidRDefault="001D5E53" w:rsidP="001D5E53">
      <w:pPr>
        <w:spacing w:before="100" w:beforeAutospacing="1" w:after="100" w:afterAutospacing="1"/>
        <w:rPr>
          <w:rFonts w:cs="Times New Roman"/>
          <w:szCs w:val="24"/>
        </w:rPr>
      </w:pPr>
      <w:r w:rsidRPr="0058792C">
        <w:rPr>
          <w:rFonts w:cs="Times New Roman"/>
          <w:szCs w:val="24"/>
        </w:rPr>
        <w:lastRenderedPageBreak/>
        <w:t>Le CPA a bénéficié, notamment du patrimoine des banques populaires dissoutes le 31/12/1966.</w:t>
      </w:r>
      <w:r w:rsidR="00762D2B">
        <w:rPr>
          <w:rFonts w:cs="Times New Roman"/>
          <w:szCs w:val="24"/>
        </w:rPr>
        <w:t xml:space="preserve"> </w:t>
      </w:r>
      <w:r w:rsidRPr="0058792C">
        <w:rPr>
          <w:rFonts w:cs="Times New Roman"/>
          <w:szCs w:val="24"/>
        </w:rPr>
        <w:t>Il s'agit des banques suivantes</w:t>
      </w:r>
      <w:r w:rsidR="00762D2B">
        <w:rPr>
          <w:rStyle w:val="Appelnotedebasdep"/>
          <w:rFonts w:cs="Times New Roman"/>
          <w:szCs w:val="24"/>
        </w:rPr>
        <w:footnoteReference w:id="6"/>
      </w:r>
      <w:r w:rsidRPr="0058792C">
        <w:rPr>
          <w:rFonts w:cs="Times New Roman"/>
          <w:szCs w:val="24"/>
        </w:rPr>
        <w:t xml:space="preserve">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Banque Populaire Commerciale et Industrielle d'Alger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Banque Populaire Commerciale et Industrielle d'Oran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Banque Populaire Commerciale et Industrielle d'Annaba ;</w:t>
      </w:r>
    </w:p>
    <w:p w:rsidR="001D5E53" w:rsidRPr="0058792C" w:rsidRDefault="001D5E53" w:rsidP="009C708D">
      <w:pPr>
        <w:numPr>
          <w:ilvl w:val="0"/>
          <w:numId w:val="14"/>
        </w:numPr>
        <w:spacing w:before="100" w:beforeAutospacing="1" w:after="100" w:afterAutospacing="1"/>
        <w:rPr>
          <w:rFonts w:cs="Times New Roman"/>
          <w:szCs w:val="24"/>
        </w:rPr>
      </w:pPr>
      <w:r w:rsidRPr="0058792C">
        <w:rPr>
          <w:rFonts w:cs="Times New Roman"/>
          <w:szCs w:val="24"/>
        </w:rPr>
        <w:t>Banque Populaire Commerciale et Industrielle de Constantine ;</w:t>
      </w:r>
    </w:p>
    <w:p w:rsidR="001D5E53" w:rsidRDefault="001D5E53" w:rsidP="009C708D">
      <w:pPr>
        <w:numPr>
          <w:ilvl w:val="0"/>
          <w:numId w:val="14"/>
        </w:numPr>
        <w:spacing w:before="100" w:beforeAutospacing="1" w:after="100" w:afterAutospacing="1"/>
        <w:rPr>
          <w:rFonts w:cs="Times New Roman"/>
          <w:szCs w:val="24"/>
        </w:rPr>
      </w:pPr>
      <w:r w:rsidRPr="0058792C">
        <w:rPr>
          <w:rFonts w:cs="Times New Roman"/>
          <w:szCs w:val="24"/>
        </w:rPr>
        <w:t>Banque Régionale du Crédit Populaire d'Alger.</w:t>
      </w:r>
    </w:p>
    <w:p w:rsidR="001D5E53" w:rsidRDefault="001D5E53" w:rsidP="001D5E53">
      <w:pPr>
        <w:spacing w:before="100" w:beforeAutospacing="1" w:after="100" w:afterAutospacing="1"/>
        <w:rPr>
          <w:rFonts w:cs="Times New Roman"/>
          <w:szCs w:val="24"/>
        </w:rPr>
      </w:pPr>
      <w:r w:rsidRPr="0058792C">
        <w:rPr>
          <w:rFonts w:cs="Times New Roman"/>
          <w:szCs w:val="24"/>
        </w:rPr>
        <w:t>Ces structures ont été renforcées par la reprise des activités des banques étrangères suiva</w:t>
      </w:r>
      <w:r>
        <w:rPr>
          <w:rFonts w:cs="Times New Roman"/>
          <w:szCs w:val="24"/>
        </w:rPr>
        <w:t xml:space="preserve">ntes : </w:t>
      </w:r>
    </w:p>
    <w:p w:rsidR="001D5E53" w:rsidRPr="006831EA" w:rsidRDefault="001D5E53" w:rsidP="009C708D">
      <w:pPr>
        <w:pStyle w:val="Paragraphedeliste"/>
        <w:numPr>
          <w:ilvl w:val="0"/>
          <w:numId w:val="11"/>
        </w:numPr>
        <w:spacing w:before="100" w:beforeAutospacing="1" w:after="100" w:afterAutospacing="1"/>
        <w:rPr>
          <w:rFonts w:cs="Times New Roman"/>
          <w:szCs w:val="24"/>
        </w:rPr>
      </w:pPr>
      <w:r w:rsidRPr="006831EA">
        <w:rPr>
          <w:rFonts w:cs="Times New Roman"/>
          <w:szCs w:val="24"/>
        </w:rPr>
        <w:t>La banque Mixte d'Algérie « MISR » ;</w:t>
      </w:r>
    </w:p>
    <w:p w:rsidR="001D5E53" w:rsidRPr="006831EA" w:rsidRDefault="001D5E53" w:rsidP="009C708D">
      <w:pPr>
        <w:pStyle w:val="Paragraphedeliste"/>
        <w:numPr>
          <w:ilvl w:val="0"/>
          <w:numId w:val="11"/>
        </w:numPr>
        <w:spacing w:before="100" w:beforeAutospacing="1" w:after="100" w:afterAutospacing="1"/>
        <w:rPr>
          <w:rFonts w:cs="Times New Roman"/>
          <w:szCs w:val="24"/>
        </w:rPr>
      </w:pPr>
      <w:r w:rsidRPr="006831EA">
        <w:rPr>
          <w:rFonts w:cs="Times New Roman"/>
          <w:szCs w:val="24"/>
        </w:rPr>
        <w:t>La société Marseillaise de Crédit.</w:t>
      </w:r>
    </w:p>
    <w:p w:rsidR="001D5E53" w:rsidRPr="0058792C" w:rsidRDefault="001D5E53" w:rsidP="001D5E53">
      <w:pPr>
        <w:spacing w:before="100" w:beforeAutospacing="1" w:after="100" w:afterAutospacing="1"/>
        <w:rPr>
          <w:rFonts w:cs="Times New Roman"/>
          <w:szCs w:val="24"/>
        </w:rPr>
      </w:pPr>
      <w:r w:rsidRPr="00597294">
        <w:t>Elle avait pour mission le financement de l'artisanat, l'hôtellerie et les professions libérales.</w:t>
      </w:r>
      <w:r w:rsidRPr="0058792C">
        <w:rPr>
          <w:rFonts w:cs="Times New Roman"/>
          <w:szCs w:val="24"/>
        </w:rPr>
        <w:t xml:space="preserve"> On lui confia aussi les opérations bancaires des petites et moyennes entreprises</w:t>
      </w:r>
      <w:r>
        <w:rPr>
          <w:rFonts w:cs="Times New Roman"/>
          <w:szCs w:val="24"/>
        </w:rPr>
        <w:t xml:space="preserve"> (PME)</w:t>
      </w:r>
      <w:r w:rsidRPr="0058792C">
        <w:rPr>
          <w:rFonts w:cs="Times New Roman"/>
          <w:szCs w:val="24"/>
        </w:rPr>
        <w:t>. Elle est chargée d'octroyer des crédits au secteur privé, aux entreprises autogérées et nationalisées et non agricoles.</w:t>
      </w:r>
    </w:p>
    <w:p w:rsidR="001D5E53" w:rsidRPr="0058792C" w:rsidRDefault="00762D2B" w:rsidP="00762D2B">
      <w:pPr>
        <w:pStyle w:val="Titre3"/>
        <w:numPr>
          <w:ilvl w:val="0"/>
          <w:numId w:val="0"/>
        </w:numPr>
        <w:ind w:left="426"/>
      </w:pPr>
      <w:bookmarkStart w:id="12" w:name="_Toc431979971"/>
      <w:r>
        <w:t>1.2.3</w:t>
      </w:r>
      <w:r w:rsidR="001D5E53" w:rsidRPr="0058792C">
        <w:t xml:space="preserve">  La Banque Extérieure d'Algérie</w:t>
      </w:r>
      <w:r w:rsidR="001D5E53">
        <w:t xml:space="preserve"> « BEA » </w:t>
      </w:r>
      <w:bookmarkEnd w:id="12"/>
    </w:p>
    <w:p w:rsidR="001D5E53" w:rsidRPr="0058792C" w:rsidRDefault="001D5E53" w:rsidP="001D5E53">
      <w:pPr>
        <w:spacing w:before="100" w:beforeAutospacing="1" w:after="100" w:afterAutospacing="1"/>
        <w:rPr>
          <w:rFonts w:cs="Times New Roman"/>
          <w:szCs w:val="24"/>
        </w:rPr>
      </w:pPr>
      <w:r w:rsidRPr="0058792C">
        <w:rPr>
          <w:rFonts w:cs="Times New Roman"/>
          <w:szCs w:val="24"/>
        </w:rPr>
        <w:t>La BEA a été créée par l'ordonnance N°67-204 du 01/10/1967.Elle a repris pour l'essentiel les activités des banques suivantes</w:t>
      </w:r>
      <w:r w:rsidR="00762D2B">
        <w:rPr>
          <w:rStyle w:val="Appelnotedebasdep"/>
          <w:rFonts w:cs="Times New Roman"/>
          <w:szCs w:val="24"/>
        </w:rPr>
        <w:footnoteReference w:id="7"/>
      </w:r>
      <w:r w:rsidRPr="0058792C">
        <w:rPr>
          <w:rFonts w:cs="Times New Roman"/>
          <w:szCs w:val="24"/>
        </w:rPr>
        <w:t xml:space="preserve"> :</w:t>
      </w:r>
    </w:p>
    <w:p w:rsidR="001D5E53" w:rsidRDefault="001D5E53" w:rsidP="009C708D">
      <w:pPr>
        <w:numPr>
          <w:ilvl w:val="0"/>
          <w:numId w:val="11"/>
        </w:numPr>
        <w:spacing w:before="100" w:beforeAutospacing="1" w:after="100" w:afterAutospacing="1"/>
        <w:rPr>
          <w:rFonts w:cs="Times New Roman"/>
          <w:szCs w:val="24"/>
        </w:rPr>
      </w:pPr>
      <w:r w:rsidRPr="0058792C">
        <w:rPr>
          <w:rFonts w:cs="Times New Roman"/>
          <w:szCs w:val="24"/>
        </w:rPr>
        <w:t>Le Crédit Lyonnais ;</w:t>
      </w:r>
    </w:p>
    <w:p w:rsidR="00762D2B" w:rsidRPr="0058792C" w:rsidRDefault="00762D2B" w:rsidP="009C708D">
      <w:pPr>
        <w:numPr>
          <w:ilvl w:val="0"/>
          <w:numId w:val="11"/>
        </w:numPr>
        <w:spacing w:before="100" w:beforeAutospacing="1" w:after="100" w:afterAutospacing="1"/>
        <w:rPr>
          <w:rFonts w:cs="Times New Roman"/>
          <w:szCs w:val="24"/>
        </w:rPr>
      </w:pPr>
      <w:r>
        <w:rPr>
          <w:rFonts w:cs="Times New Roman"/>
          <w:szCs w:val="24"/>
        </w:rPr>
        <w:t>La Société Générale ;</w:t>
      </w:r>
    </w:p>
    <w:p w:rsidR="001D5E53" w:rsidRPr="0058792C" w:rsidRDefault="001D5E53" w:rsidP="009C708D">
      <w:pPr>
        <w:numPr>
          <w:ilvl w:val="0"/>
          <w:numId w:val="11"/>
        </w:numPr>
        <w:spacing w:before="100" w:beforeAutospacing="1" w:after="100" w:afterAutospacing="1"/>
        <w:rPr>
          <w:rFonts w:cs="Times New Roman"/>
          <w:szCs w:val="24"/>
        </w:rPr>
      </w:pPr>
      <w:r w:rsidRPr="0058792C">
        <w:rPr>
          <w:rFonts w:cs="Times New Roman"/>
          <w:szCs w:val="24"/>
        </w:rPr>
        <w:t xml:space="preserve">-Le </w:t>
      </w:r>
      <w:proofErr w:type="spellStart"/>
      <w:r w:rsidRPr="0058792C">
        <w:rPr>
          <w:rFonts w:cs="Times New Roman"/>
          <w:szCs w:val="24"/>
        </w:rPr>
        <w:t>Barclay's</w:t>
      </w:r>
      <w:proofErr w:type="spellEnd"/>
      <w:r w:rsidRPr="0058792C">
        <w:rPr>
          <w:rFonts w:cs="Times New Roman"/>
          <w:szCs w:val="24"/>
        </w:rPr>
        <w:t xml:space="preserve"> Bank Limited;</w:t>
      </w:r>
    </w:p>
    <w:p w:rsidR="001D5E53" w:rsidRPr="0058792C" w:rsidRDefault="001D5E53" w:rsidP="009C708D">
      <w:pPr>
        <w:numPr>
          <w:ilvl w:val="0"/>
          <w:numId w:val="11"/>
        </w:numPr>
        <w:spacing w:before="100" w:beforeAutospacing="1" w:after="100" w:afterAutospacing="1"/>
        <w:rPr>
          <w:rFonts w:cs="Times New Roman"/>
          <w:szCs w:val="24"/>
        </w:rPr>
      </w:pPr>
      <w:r w:rsidRPr="0058792C">
        <w:rPr>
          <w:rFonts w:cs="Times New Roman"/>
          <w:szCs w:val="24"/>
        </w:rPr>
        <w:t>Le crédit du Nord ;</w:t>
      </w:r>
    </w:p>
    <w:p w:rsidR="001D5E53" w:rsidRPr="0058792C" w:rsidRDefault="001D5E53" w:rsidP="009C708D">
      <w:pPr>
        <w:numPr>
          <w:ilvl w:val="0"/>
          <w:numId w:val="11"/>
        </w:numPr>
        <w:spacing w:before="100" w:beforeAutospacing="1" w:after="100" w:afterAutospacing="1"/>
        <w:rPr>
          <w:rFonts w:cs="Times New Roman"/>
          <w:szCs w:val="24"/>
        </w:rPr>
      </w:pPr>
      <w:r w:rsidRPr="0058792C">
        <w:rPr>
          <w:rFonts w:cs="Times New Roman"/>
          <w:szCs w:val="24"/>
        </w:rPr>
        <w:t>La banque Industrielle De l'Algérie et de la Méditerranée.</w:t>
      </w:r>
    </w:p>
    <w:p w:rsidR="001D5E53" w:rsidRPr="0058792C" w:rsidRDefault="001D5E53" w:rsidP="001D5E53">
      <w:pPr>
        <w:spacing w:before="100" w:beforeAutospacing="1" w:after="100" w:afterAutospacing="1"/>
        <w:rPr>
          <w:rFonts w:cs="Times New Roman"/>
          <w:szCs w:val="24"/>
        </w:rPr>
      </w:pPr>
      <w:r w:rsidRPr="0058792C">
        <w:rPr>
          <w:rFonts w:cs="Times New Roman"/>
          <w:szCs w:val="24"/>
        </w:rPr>
        <w:t xml:space="preserve">La BEA est une banque de dépôt au même titre que la </w:t>
      </w:r>
      <w:r>
        <w:rPr>
          <w:rFonts w:cs="Times New Roman"/>
          <w:szCs w:val="24"/>
        </w:rPr>
        <w:t>BNA</w:t>
      </w:r>
      <w:r w:rsidRPr="0058792C">
        <w:rPr>
          <w:rFonts w:cs="Times New Roman"/>
          <w:szCs w:val="24"/>
        </w:rPr>
        <w:t xml:space="preserve"> et le CPA. Elle a une mission particulière dans le domaine du développement des relations financières avec </w:t>
      </w:r>
      <w:r w:rsidRPr="0058792C">
        <w:rPr>
          <w:rFonts w:cs="Times New Roman"/>
          <w:szCs w:val="24"/>
        </w:rPr>
        <w:lastRenderedPageBreak/>
        <w:t xml:space="preserve">l'extérieur, ainsi </w:t>
      </w:r>
      <w:r>
        <w:rPr>
          <w:rFonts w:cs="Times New Roman"/>
          <w:szCs w:val="24"/>
        </w:rPr>
        <w:t>que</w:t>
      </w:r>
      <w:r w:rsidR="00831B3F">
        <w:rPr>
          <w:rFonts w:cs="Times New Roman"/>
          <w:szCs w:val="24"/>
        </w:rPr>
        <w:t xml:space="preserve"> </w:t>
      </w:r>
      <w:r>
        <w:rPr>
          <w:rFonts w:cs="Times New Roman"/>
          <w:szCs w:val="24"/>
        </w:rPr>
        <w:t>dans</w:t>
      </w:r>
      <w:r w:rsidRPr="0058792C">
        <w:rPr>
          <w:rFonts w:cs="Times New Roman"/>
          <w:szCs w:val="24"/>
        </w:rPr>
        <w:t xml:space="preserve"> toutes les opérations bancaires classiques, là où le secteur public occupe une place prépondéran</w:t>
      </w:r>
      <w:r>
        <w:rPr>
          <w:rFonts w:cs="Times New Roman"/>
          <w:szCs w:val="24"/>
        </w:rPr>
        <w:t>t</w:t>
      </w:r>
      <w:r w:rsidRPr="0058792C">
        <w:rPr>
          <w:rFonts w:cs="Times New Roman"/>
          <w:szCs w:val="24"/>
        </w:rPr>
        <w:t>e.</w:t>
      </w:r>
    </w:p>
    <w:p w:rsidR="001D5E53" w:rsidRPr="0058792C" w:rsidRDefault="00762D2B" w:rsidP="001D5E53">
      <w:pPr>
        <w:pStyle w:val="Titre2"/>
      </w:pPr>
      <w:bookmarkStart w:id="13" w:name="_Toc431979972"/>
      <w:r>
        <w:t>1.3</w:t>
      </w:r>
      <w:r w:rsidR="001D5E53" w:rsidRPr="0058792C">
        <w:t xml:space="preserve"> La période 1970-1978 </w:t>
      </w:r>
      <w:bookmarkEnd w:id="13"/>
    </w:p>
    <w:p w:rsidR="001D5E53" w:rsidRPr="0058792C" w:rsidRDefault="001D5E53" w:rsidP="001D5E53">
      <w:pPr>
        <w:spacing w:before="100" w:beforeAutospacing="1" w:after="100" w:afterAutospacing="1"/>
        <w:rPr>
          <w:rFonts w:cs="Times New Roman"/>
          <w:szCs w:val="24"/>
        </w:rPr>
      </w:pPr>
      <w:r w:rsidRPr="0058792C">
        <w:rPr>
          <w:rFonts w:cs="Times New Roman"/>
          <w:szCs w:val="24"/>
        </w:rPr>
        <w:t>A partir de 1970, un réexamen du principe de spécialisation sectorielle des banques qui consiste à la gestion et au contrôle des opérations financières des entreprises publiques, a été imposé et adapté par l'instauration de la planification comme mode de gestion de l'économie.</w:t>
      </w:r>
    </w:p>
    <w:p w:rsidR="001D5E53" w:rsidRPr="0058792C" w:rsidRDefault="001D5E53" w:rsidP="001D5E53">
      <w:pPr>
        <w:spacing w:before="100" w:beforeAutospacing="1" w:after="100" w:afterAutospacing="1"/>
        <w:rPr>
          <w:rFonts w:cs="Times New Roman"/>
          <w:szCs w:val="24"/>
        </w:rPr>
      </w:pPr>
      <w:r w:rsidRPr="0058792C">
        <w:rPr>
          <w:rFonts w:cs="Times New Roman"/>
          <w:szCs w:val="24"/>
        </w:rPr>
        <w:t>Dans ce cadre, la Caisse Algérienne de Développement « CAD », laisse place, en Mai 1972, à la Banque Algérienne de Développement « BAD », qui sera chargée du financement des investissements productifs nécessaires à la réalisation des objectifs de développement économique de l'Algérie.</w:t>
      </w:r>
    </w:p>
    <w:p w:rsidR="001D5E53" w:rsidRPr="0058792C" w:rsidRDefault="00762D2B" w:rsidP="001D5E53">
      <w:pPr>
        <w:pStyle w:val="Titre2"/>
      </w:pPr>
      <w:bookmarkStart w:id="14" w:name="_Toc431979973"/>
      <w:r>
        <w:t>1.4</w:t>
      </w:r>
      <w:r w:rsidR="001D5E53" w:rsidRPr="0058792C">
        <w:t xml:space="preserve"> La période 1978-1986 </w:t>
      </w:r>
      <w:bookmarkEnd w:id="14"/>
    </w:p>
    <w:p w:rsidR="001D5E53" w:rsidRPr="0058792C" w:rsidRDefault="001D5E53" w:rsidP="001D5E53">
      <w:pPr>
        <w:spacing w:before="100" w:beforeAutospacing="1" w:after="100" w:afterAutospacing="1"/>
        <w:rPr>
          <w:rFonts w:cs="Times New Roman"/>
          <w:szCs w:val="24"/>
        </w:rPr>
      </w:pPr>
      <w:r w:rsidRPr="0058792C">
        <w:rPr>
          <w:rFonts w:cs="Times New Roman"/>
          <w:szCs w:val="24"/>
        </w:rPr>
        <w:t>En 1978, le Trésor Public remplace le système bancaire dans le financement des investissements planifiés du secteur public. Les banques primaires n'interviennent pas plus que pour la mobilisation des crédits extérieurs. Cette mesure porte un dernier coup à la réforme de 1970.</w:t>
      </w:r>
    </w:p>
    <w:p w:rsidR="001D5E53" w:rsidRDefault="001D5E53" w:rsidP="001D5E53">
      <w:pPr>
        <w:spacing w:before="100" w:beforeAutospacing="1" w:after="100" w:afterAutospacing="1"/>
        <w:rPr>
          <w:rFonts w:cs="Times New Roman"/>
          <w:szCs w:val="24"/>
        </w:rPr>
      </w:pPr>
      <w:r w:rsidRPr="0058792C">
        <w:rPr>
          <w:rFonts w:cs="Times New Roman"/>
          <w:szCs w:val="24"/>
        </w:rPr>
        <w:t>La loi de finance</w:t>
      </w:r>
      <w:r>
        <w:rPr>
          <w:rFonts w:cs="Times New Roman"/>
          <w:szCs w:val="24"/>
        </w:rPr>
        <w:t xml:space="preserve"> de</w:t>
      </w:r>
      <w:r w:rsidRPr="0058792C">
        <w:rPr>
          <w:rFonts w:cs="Times New Roman"/>
          <w:szCs w:val="24"/>
        </w:rPr>
        <w:t xml:space="preserve"> 1982 a confié la charge des investissements dits stratégiques au Trésor </w:t>
      </w:r>
      <w:r>
        <w:rPr>
          <w:rFonts w:cs="Times New Roman"/>
          <w:szCs w:val="24"/>
        </w:rPr>
        <w:t>P</w:t>
      </w:r>
      <w:r w:rsidRPr="0058792C">
        <w:rPr>
          <w:rFonts w:cs="Times New Roman"/>
          <w:szCs w:val="24"/>
        </w:rPr>
        <w:t>ublic. Pour les autres investissements publics, les banques primaires interviennent selon les critères de rentabilité financière.</w:t>
      </w:r>
    </w:p>
    <w:p w:rsidR="001D5E53" w:rsidRPr="0058792C" w:rsidRDefault="001D5E53" w:rsidP="001D5E53">
      <w:pPr>
        <w:spacing w:before="100" w:beforeAutospacing="1" w:after="100" w:afterAutospacing="1"/>
        <w:rPr>
          <w:rFonts w:cs="Times New Roman"/>
          <w:szCs w:val="24"/>
        </w:rPr>
      </w:pPr>
      <w:r w:rsidRPr="0058792C">
        <w:rPr>
          <w:rFonts w:cs="Times New Roman"/>
          <w:szCs w:val="24"/>
        </w:rPr>
        <w:t xml:space="preserve">A partir de </w:t>
      </w:r>
      <w:r>
        <w:rPr>
          <w:rFonts w:cs="Times New Roman"/>
          <w:szCs w:val="24"/>
        </w:rPr>
        <w:t xml:space="preserve">l’année </w:t>
      </w:r>
      <w:r w:rsidRPr="0058792C">
        <w:rPr>
          <w:rFonts w:cs="Times New Roman"/>
          <w:szCs w:val="24"/>
        </w:rPr>
        <w:t>1982, une restructuration du secteur bancaire a été engagée. En vue de renforcer la spécialisation des banques et de diminuer le pouvoir de certaines d'entre elles qui se sont retrouvées avec un poids financier considérable.</w:t>
      </w:r>
    </w:p>
    <w:p w:rsidR="001D5E53" w:rsidRPr="0058792C" w:rsidRDefault="001D5E53" w:rsidP="001D5E53">
      <w:pPr>
        <w:spacing w:before="100" w:beforeAutospacing="1" w:after="100" w:afterAutospacing="1"/>
        <w:rPr>
          <w:rFonts w:cs="Times New Roman"/>
          <w:szCs w:val="24"/>
        </w:rPr>
      </w:pPr>
      <w:r w:rsidRPr="0058792C">
        <w:rPr>
          <w:rFonts w:cs="Times New Roman"/>
          <w:szCs w:val="24"/>
        </w:rPr>
        <w:t>En application du critère de spécialisation des entreprises publiques, deux banques publiques spécialisées ont été créées</w:t>
      </w:r>
      <w:r w:rsidR="00762D2B">
        <w:rPr>
          <w:rFonts w:cs="Times New Roman"/>
          <w:szCs w:val="24"/>
        </w:rPr>
        <w:t>.</w:t>
      </w:r>
    </w:p>
    <w:p w:rsidR="001D5E53" w:rsidRDefault="001D5E53" w:rsidP="00D95740">
      <w:pPr>
        <w:pStyle w:val="Titre3"/>
        <w:numPr>
          <w:ilvl w:val="2"/>
          <w:numId w:val="37"/>
        </w:numPr>
      </w:pPr>
      <w:bookmarkStart w:id="15" w:name="_Toc431979974"/>
      <w:r w:rsidRPr="0058792C">
        <w:t xml:space="preserve">Banque Agricole et du développement rural « BADR » </w:t>
      </w:r>
      <w:bookmarkEnd w:id="15"/>
    </w:p>
    <w:p w:rsidR="001D5E53" w:rsidRPr="00F51A9D" w:rsidRDefault="00762D2B" w:rsidP="008A5B2B">
      <w:r>
        <w:t>Issus de la restructuration organique de la BNA, la BADR</w:t>
      </w:r>
      <w:r w:rsidR="001D5E53" w:rsidRPr="00F51A9D">
        <w:t xml:space="preserve"> a été créée </w:t>
      </w:r>
      <w:r w:rsidR="008A5B2B">
        <w:t xml:space="preserve">par le </w:t>
      </w:r>
      <w:proofErr w:type="spellStart"/>
      <w:r w:rsidR="008A5B2B">
        <w:t>decret</w:t>
      </w:r>
      <w:proofErr w:type="spellEnd"/>
      <w:r w:rsidR="008A5B2B">
        <w:t xml:space="preserve"> n°82/106</w:t>
      </w:r>
      <w:r w:rsidR="001D5E53" w:rsidRPr="00F51A9D">
        <w:t xml:space="preserve"> du 13/03/1982. Elle est chargée du financement du système agricole qui était </w:t>
      </w:r>
      <w:r w:rsidR="001D5E53" w:rsidRPr="00F51A9D">
        <w:lastRenderedPageBreak/>
        <w:t xml:space="preserve">auparavant du domaine de la BNA. La BADR a développé des financements diversifiés couvrant l'agro-alimentaire, le commerce et l'industrie. </w:t>
      </w:r>
    </w:p>
    <w:p w:rsidR="001D5E53" w:rsidRDefault="008A5B2B" w:rsidP="008A5B2B">
      <w:pPr>
        <w:pStyle w:val="Titre3"/>
        <w:numPr>
          <w:ilvl w:val="0"/>
          <w:numId w:val="0"/>
        </w:numPr>
        <w:ind w:left="720" w:hanging="360"/>
      </w:pPr>
      <w:bookmarkStart w:id="16" w:name="_Toc431979975"/>
      <w:r>
        <w:t>1.4.2</w:t>
      </w:r>
      <w:r w:rsidR="001D5E53" w:rsidRPr="0058792C">
        <w:t xml:space="preserve">  La création de la Banque de développement local « BDL » </w:t>
      </w:r>
      <w:bookmarkEnd w:id="16"/>
    </w:p>
    <w:p w:rsidR="001D5E53" w:rsidRPr="0058792C" w:rsidRDefault="008A5B2B" w:rsidP="008A5B2B">
      <w:pPr>
        <w:spacing w:before="100" w:beforeAutospacing="1" w:after="100" w:afterAutospacing="1"/>
        <w:ind w:firstLine="708"/>
        <w:rPr>
          <w:rFonts w:cs="Times New Roman"/>
          <w:szCs w:val="24"/>
        </w:rPr>
      </w:pPr>
      <w:r>
        <w:rPr>
          <w:rFonts w:cs="Times New Roman"/>
          <w:szCs w:val="24"/>
        </w:rPr>
        <w:t>Elle</w:t>
      </w:r>
      <w:r w:rsidR="001D5E53" w:rsidRPr="0058792C">
        <w:rPr>
          <w:rFonts w:cs="Times New Roman"/>
          <w:szCs w:val="24"/>
        </w:rPr>
        <w:t xml:space="preserve"> fut créée par le décret </w:t>
      </w:r>
      <w:r>
        <w:rPr>
          <w:rFonts w:cs="Times New Roman"/>
          <w:szCs w:val="24"/>
        </w:rPr>
        <w:t xml:space="preserve">n°8586 </w:t>
      </w:r>
      <w:r w:rsidR="001D5E53" w:rsidRPr="0058792C">
        <w:rPr>
          <w:rFonts w:cs="Times New Roman"/>
          <w:szCs w:val="24"/>
        </w:rPr>
        <w:t>du 3</w:t>
      </w:r>
      <w:r>
        <w:rPr>
          <w:rFonts w:cs="Times New Roman"/>
          <w:szCs w:val="24"/>
        </w:rPr>
        <w:t>0</w:t>
      </w:r>
      <w:r w:rsidR="001D5E53" w:rsidRPr="0058792C">
        <w:rPr>
          <w:rFonts w:cs="Times New Roman"/>
          <w:szCs w:val="24"/>
        </w:rPr>
        <w:t>/04/1985</w:t>
      </w:r>
      <w:r w:rsidR="001D5E53">
        <w:rPr>
          <w:rFonts w:cs="Times New Roman"/>
          <w:szCs w:val="24"/>
        </w:rPr>
        <w:t xml:space="preserve">. </w:t>
      </w:r>
      <w:r w:rsidR="001D5E53" w:rsidRPr="0058792C">
        <w:rPr>
          <w:rFonts w:cs="Times New Roman"/>
          <w:szCs w:val="24"/>
        </w:rPr>
        <w:t>Elle sera chargée du financement des entreprises économiques locales jusque-là prises en charge par le CPA</w:t>
      </w:r>
      <w:r w:rsidR="001D5E53">
        <w:rPr>
          <w:rFonts w:cs="Times New Roman"/>
          <w:szCs w:val="24"/>
        </w:rPr>
        <w:t xml:space="preserve">. </w:t>
      </w:r>
      <w:r w:rsidR="001D5E53" w:rsidRPr="0058792C">
        <w:rPr>
          <w:rFonts w:cs="Times New Roman"/>
          <w:szCs w:val="24"/>
        </w:rPr>
        <w:t>En plus de cette mission</w:t>
      </w:r>
      <w:r w:rsidR="001D5E53">
        <w:rPr>
          <w:rFonts w:cs="Times New Roman"/>
          <w:szCs w:val="24"/>
        </w:rPr>
        <w:t>,</w:t>
      </w:r>
      <w:r w:rsidR="001D5E53" w:rsidRPr="0058792C">
        <w:rPr>
          <w:rFonts w:cs="Times New Roman"/>
          <w:szCs w:val="24"/>
        </w:rPr>
        <w:t xml:space="preserve"> la BDL réalise les opérations de prêts sur gages, ainsi que toutes les opérations de banque commerciale.</w:t>
      </w:r>
    </w:p>
    <w:p w:rsidR="001D5E53" w:rsidRPr="0058792C" w:rsidRDefault="008A5B2B" w:rsidP="001D5E53">
      <w:pPr>
        <w:pStyle w:val="Titre2"/>
      </w:pPr>
      <w:bookmarkStart w:id="17" w:name="_Toc431979976"/>
      <w:r>
        <w:t xml:space="preserve">1.5 </w:t>
      </w:r>
      <w:r w:rsidR="001D5E53" w:rsidRPr="0058792C">
        <w:t xml:space="preserve"> La période de 1988 à nos jours </w:t>
      </w:r>
      <w:bookmarkEnd w:id="17"/>
    </w:p>
    <w:p w:rsidR="001D5E53" w:rsidRPr="0058792C" w:rsidRDefault="001D5E53" w:rsidP="008A5B2B">
      <w:pPr>
        <w:spacing w:before="100" w:beforeAutospacing="1" w:after="100" w:afterAutospacing="1"/>
        <w:rPr>
          <w:rFonts w:cs="Times New Roman"/>
          <w:szCs w:val="24"/>
        </w:rPr>
      </w:pPr>
      <w:r w:rsidRPr="0058792C">
        <w:rPr>
          <w:rFonts w:cs="Times New Roman"/>
          <w:szCs w:val="24"/>
        </w:rPr>
        <w:t>A partir de 1988, l'économie algérienne va connaître plusieurs réformes. La première est axée sur l'autonomie de l'entreprise publique et la création des fonds de participation. Les banques commerciales sont considérées comme des entreprises publiques économiques et sont, de ce fait, concernées par la réforme de 1988.</w:t>
      </w:r>
      <w:r w:rsidR="008A5B2B">
        <w:rPr>
          <w:rFonts w:cs="Times New Roman"/>
          <w:szCs w:val="24"/>
        </w:rPr>
        <w:t xml:space="preserve"> </w:t>
      </w:r>
      <w:r w:rsidRPr="0058792C">
        <w:rPr>
          <w:rFonts w:cs="Times New Roman"/>
          <w:szCs w:val="24"/>
        </w:rPr>
        <w:t>La loi relative à la monnaie et le crédit, promulguée en 1990, va créer un nouveau cadre dans lequel le système bancaire algérien va évoluer.</w:t>
      </w:r>
      <w:r w:rsidR="00B3019E">
        <w:rPr>
          <w:rFonts w:cs="Times New Roman"/>
          <w:szCs w:val="24"/>
        </w:rPr>
        <w:t xml:space="preserve"> </w:t>
      </w:r>
      <w:r w:rsidRPr="0058792C">
        <w:rPr>
          <w:rFonts w:cs="Times New Roman"/>
          <w:szCs w:val="24"/>
        </w:rPr>
        <w:t>La crise de l'endettement extérieur met en r</w:t>
      </w:r>
      <w:r w:rsidR="008A5B2B">
        <w:rPr>
          <w:rFonts w:cs="Times New Roman"/>
          <w:szCs w:val="24"/>
        </w:rPr>
        <w:t>elief</w:t>
      </w:r>
      <w:r w:rsidRPr="0058792C">
        <w:rPr>
          <w:rFonts w:cs="Times New Roman"/>
          <w:szCs w:val="24"/>
        </w:rPr>
        <w:t xml:space="preserve"> les dysfonctionnements de l'économie nationale et d'autres réformes économiques sont engagées avec l'appui des organisations monétaires et financières Internationales et la Banque Mondiale. Durant toute cette période, le système bancaire sera au centre des ajustements opérés.</w:t>
      </w:r>
    </w:p>
    <w:p w:rsidR="001D5E53" w:rsidRPr="0058792C" w:rsidRDefault="001D5E53" w:rsidP="001D5E53">
      <w:pPr>
        <w:spacing w:before="100" w:beforeAutospacing="1" w:after="100" w:afterAutospacing="1"/>
        <w:rPr>
          <w:rFonts w:cs="Times New Roman"/>
          <w:szCs w:val="24"/>
        </w:rPr>
      </w:pPr>
      <w:r w:rsidRPr="0058792C">
        <w:rPr>
          <w:rFonts w:cs="Times New Roman"/>
          <w:szCs w:val="24"/>
        </w:rPr>
        <w:t>Les différentes phases qui ont caractérisés l'évolution du système bancaire algérien sont analysées dans cette période.</w:t>
      </w:r>
    </w:p>
    <w:p w:rsidR="001D5E53" w:rsidRDefault="001D5E53" w:rsidP="009C708D">
      <w:pPr>
        <w:pStyle w:val="Paragraphedeliste"/>
        <w:numPr>
          <w:ilvl w:val="0"/>
          <w:numId w:val="12"/>
        </w:numPr>
        <w:spacing w:before="100" w:beforeAutospacing="1" w:after="100" w:afterAutospacing="1"/>
        <w:rPr>
          <w:rFonts w:cs="Times New Roman"/>
          <w:szCs w:val="24"/>
        </w:rPr>
      </w:pPr>
      <w:r w:rsidRPr="006831EA">
        <w:rPr>
          <w:rFonts w:cs="Times New Roman"/>
          <w:szCs w:val="24"/>
        </w:rPr>
        <w:t>La réforme du secteur public de 1988 ;</w:t>
      </w:r>
    </w:p>
    <w:p w:rsidR="001D5E53" w:rsidRDefault="001D5E53" w:rsidP="009C708D">
      <w:pPr>
        <w:pStyle w:val="Paragraphedeliste"/>
        <w:numPr>
          <w:ilvl w:val="0"/>
          <w:numId w:val="12"/>
        </w:numPr>
        <w:spacing w:before="100" w:beforeAutospacing="1" w:after="100" w:afterAutospacing="1"/>
        <w:rPr>
          <w:rFonts w:cs="Times New Roman"/>
          <w:szCs w:val="24"/>
        </w:rPr>
      </w:pPr>
      <w:r w:rsidRPr="006831EA">
        <w:rPr>
          <w:rFonts w:cs="Times New Roman"/>
          <w:szCs w:val="24"/>
        </w:rPr>
        <w:t>La loi relative à la monnaie, le crédit et la réforme bancaire ;</w:t>
      </w:r>
    </w:p>
    <w:p w:rsidR="001D5E53" w:rsidRDefault="001D5E53" w:rsidP="009C708D">
      <w:pPr>
        <w:pStyle w:val="Paragraphedeliste"/>
        <w:numPr>
          <w:ilvl w:val="0"/>
          <w:numId w:val="12"/>
        </w:numPr>
        <w:spacing w:before="100" w:beforeAutospacing="1" w:after="100" w:afterAutospacing="1"/>
        <w:rPr>
          <w:rFonts w:cs="Times New Roman"/>
          <w:szCs w:val="24"/>
        </w:rPr>
      </w:pPr>
      <w:r w:rsidRPr="006831EA">
        <w:rPr>
          <w:rFonts w:cs="Times New Roman"/>
          <w:szCs w:val="24"/>
        </w:rPr>
        <w:t>Le système bancaire face à la contrainte extérieure ;</w:t>
      </w:r>
    </w:p>
    <w:p w:rsidR="001D5E53" w:rsidRDefault="001D5E53" w:rsidP="009C708D">
      <w:pPr>
        <w:pStyle w:val="Paragraphedeliste"/>
        <w:numPr>
          <w:ilvl w:val="0"/>
          <w:numId w:val="12"/>
        </w:numPr>
        <w:spacing w:before="100" w:beforeAutospacing="1" w:after="100" w:afterAutospacing="1"/>
        <w:rPr>
          <w:rFonts w:cs="Times New Roman"/>
          <w:szCs w:val="24"/>
        </w:rPr>
      </w:pPr>
      <w:r w:rsidRPr="006831EA">
        <w:rPr>
          <w:rFonts w:cs="Times New Roman"/>
          <w:szCs w:val="24"/>
        </w:rPr>
        <w:t>Le système bancaire dans la période : 1999-2001 ;</w:t>
      </w:r>
    </w:p>
    <w:p w:rsidR="001D5E53" w:rsidRPr="006831EA" w:rsidRDefault="001D5E53" w:rsidP="009C708D">
      <w:pPr>
        <w:pStyle w:val="Paragraphedeliste"/>
        <w:numPr>
          <w:ilvl w:val="0"/>
          <w:numId w:val="12"/>
        </w:numPr>
        <w:spacing w:before="100" w:beforeAutospacing="1" w:after="100" w:afterAutospacing="1"/>
        <w:rPr>
          <w:rFonts w:cs="Times New Roman"/>
          <w:szCs w:val="24"/>
        </w:rPr>
      </w:pPr>
      <w:r w:rsidRPr="006831EA">
        <w:rPr>
          <w:rFonts w:cs="Times New Roman"/>
          <w:szCs w:val="24"/>
        </w:rPr>
        <w:t>Le système bancaire dans la période actuelle.</w:t>
      </w:r>
    </w:p>
    <w:p w:rsidR="001D5E53" w:rsidRPr="0058792C" w:rsidRDefault="001D5E53" w:rsidP="00D95740">
      <w:pPr>
        <w:pStyle w:val="Titre1"/>
        <w:numPr>
          <w:ilvl w:val="0"/>
          <w:numId w:val="35"/>
        </w:numPr>
      </w:pPr>
      <w:bookmarkStart w:id="18" w:name="_Toc431979977"/>
      <w:r w:rsidRPr="0058792C">
        <w:t>Organisation du système bancaire Algérien dans le cadre des lois bancaires</w:t>
      </w:r>
      <w:bookmarkEnd w:id="18"/>
    </w:p>
    <w:p w:rsidR="001D5E53" w:rsidRPr="0058792C" w:rsidRDefault="001D5E53" w:rsidP="001D5E53">
      <w:pPr>
        <w:ind w:firstLine="708"/>
        <w:rPr>
          <w:rFonts w:cs="Times New Roman"/>
          <w:szCs w:val="24"/>
        </w:rPr>
      </w:pPr>
      <w:r w:rsidRPr="0058792C">
        <w:rPr>
          <w:rFonts w:cs="Times New Roman"/>
          <w:szCs w:val="24"/>
        </w:rPr>
        <w:lastRenderedPageBreak/>
        <w:t>Les mesures de centralisation qui ont été prises au cours de la 2éme moitié des années 80</w:t>
      </w:r>
      <w:r w:rsidR="008A5B2B">
        <w:rPr>
          <w:rFonts w:cs="Times New Roman"/>
          <w:szCs w:val="24"/>
        </w:rPr>
        <w:t xml:space="preserve"> </w:t>
      </w:r>
      <w:r w:rsidRPr="0058792C">
        <w:rPr>
          <w:rFonts w:cs="Times New Roman"/>
          <w:szCs w:val="24"/>
        </w:rPr>
        <w:t xml:space="preserve">doivent être considérées beaucoup plus comme mesures destinée </w:t>
      </w:r>
      <w:r>
        <w:rPr>
          <w:rFonts w:cs="Times New Roman"/>
          <w:szCs w:val="24"/>
        </w:rPr>
        <w:t>à</w:t>
      </w:r>
      <w:r w:rsidRPr="0058792C">
        <w:rPr>
          <w:rFonts w:cs="Times New Roman"/>
          <w:szCs w:val="24"/>
        </w:rPr>
        <w:t xml:space="preserve"> une refonte du système existant que comme à une refonte totale ou même significative de ce système.</w:t>
      </w:r>
    </w:p>
    <w:p w:rsidR="001D5E53" w:rsidRPr="0058792C" w:rsidRDefault="001D5E53" w:rsidP="001D5E53">
      <w:pPr>
        <w:rPr>
          <w:rFonts w:cs="Times New Roman"/>
          <w:szCs w:val="24"/>
        </w:rPr>
      </w:pPr>
      <w:r w:rsidRPr="0058792C">
        <w:rPr>
          <w:rFonts w:cs="Times New Roman"/>
          <w:szCs w:val="24"/>
        </w:rPr>
        <w:t>Nous présentons dans cette section, l’autonomie relative du système bancaire à travers la loi bancaire de 1986.</w:t>
      </w:r>
      <w:r w:rsidR="008A5B2B">
        <w:rPr>
          <w:rFonts w:cs="Times New Roman"/>
          <w:szCs w:val="24"/>
        </w:rPr>
        <w:t xml:space="preserve"> </w:t>
      </w:r>
      <w:r w:rsidRPr="0058792C">
        <w:rPr>
          <w:rFonts w:cs="Times New Roman"/>
          <w:szCs w:val="24"/>
        </w:rPr>
        <w:t xml:space="preserve">Ensuite la loi de 12 </w:t>
      </w:r>
      <w:r>
        <w:rPr>
          <w:rFonts w:cs="Times New Roman"/>
          <w:szCs w:val="24"/>
        </w:rPr>
        <w:t>J</w:t>
      </w:r>
      <w:r w:rsidRPr="0058792C">
        <w:rPr>
          <w:rFonts w:cs="Times New Roman"/>
          <w:szCs w:val="24"/>
        </w:rPr>
        <w:t xml:space="preserve">anvier 1988 qui redéfinit le statut des établissements de crédit et de la Banque </w:t>
      </w:r>
      <w:r>
        <w:rPr>
          <w:rFonts w:cs="Times New Roman"/>
          <w:szCs w:val="24"/>
        </w:rPr>
        <w:t>C</w:t>
      </w:r>
      <w:r w:rsidRPr="0058792C">
        <w:rPr>
          <w:rFonts w:cs="Times New Roman"/>
          <w:szCs w:val="24"/>
        </w:rPr>
        <w:t>entrale d’Algérie.</w:t>
      </w:r>
    </w:p>
    <w:p w:rsidR="001D5E53" w:rsidRPr="0058792C" w:rsidRDefault="001D5E53" w:rsidP="001D5E53">
      <w:pPr>
        <w:ind w:firstLine="708"/>
        <w:rPr>
          <w:rFonts w:cs="Times New Roman"/>
          <w:szCs w:val="24"/>
        </w:rPr>
      </w:pPr>
      <w:r>
        <w:rPr>
          <w:rFonts w:cs="Times New Roman"/>
          <w:szCs w:val="24"/>
        </w:rPr>
        <w:t>En o</w:t>
      </w:r>
      <w:r w:rsidRPr="0058792C">
        <w:rPr>
          <w:rFonts w:cs="Times New Roman"/>
          <w:szCs w:val="24"/>
        </w:rPr>
        <w:t>utre, la loi 90</w:t>
      </w:r>
      <w:r>
        <w:rPr>
          <w:rFonts w:cs="Times New Roman"/>
          <w:szCs w:val="24"/>
        </w:rPr>
        <w:t>/</w:t>
      </w:r>
      <w:r w:rsidRPr="0058792C">
        <w:rPr>
          <w:rFonts w:cs="Times New Roman"/>
          <w:szCs w:val="24"/>
        </w:rPr>
        <w:t>10 relative à la monnaie et au crédit définit l’indépendance de la banque d’Algérie, qui fait du conseil de la monnaie et du crédit un organe indépendant du pouvoir exécutif.</w:t>
      </w:r>
      <w:r w:rsidR="007F13A6">
        <w:rPr>
          <w:rFonts w:cs="Times New Roman"/>
          <w:szCs w:val="24"/>
        </w:rPr>
        <w:t xml:space="preserve"> </w:t>
      </w:r>
      <w:r w:rsidR="008A5B2B">
        <w:rPr>
          <w:rFonts w:cs="Times New Roman"/>
          <w:szCs w:val="24"/>
        </w:rPr>
        <w:t xml:space="preserve"> </w:t>
      </w:r>
      <w:r w:rsidRPr="0058792C">
        <w:rPr>
          <w:rFonts w:cs="Times New Roman"/>
          <w:szCs w:val="24"/>
        </w:rPr>
        <w:t xml:space="preserve">En fin l’ordonnance N°03-11 du 26 </w:t>
      </w:r>
      <w:r>
        <w:rPr>
          <w:rFonts w:cs="Times New Roman"/>
          <w:szCs w:val="24"/>
        </w:rPr>
        <w:t>Août</w:t>
      </w:r>
      <w:r w:rsidRPr="0058792C">
        <w:rPr>
          <w:rFonts w:cs="Times New Roman"/>
          <w:szCs w:val="24"/>
        </w:rPr>
        <w:t xml:space="preserve"> 2003, relative à la monnaie et au crédit, qui comporte les différents conteurs de cette ordonnance.</w:t>
      </w:r>
    </w:p>
    <w:p w:rsidR="001D5E53" w:rsidRPr="0058792C" w:rsidRDefault="008A5B2B" w:rsidP="001D5E53">
      <w:pPr>
        <w:pStyle w:val="Titre2"/>
      </w:pPr>
      <w:bookmarkStart w:id="19" w:name="_Toc431979978"/>
      <w:r>
        <w:t xml:space="preserve">2.1 </w:t>
      </w:r>
      <w:r w:rsidR="001D5E53" w:rsidRPr="0058792C">
        <w:t xml:space="preserve"> La réforme bancaire de 1986</w:t>
      </w:r>
      <w:bookmarkEnd w:id="19"/>
    </w:p>
    <w:p w:rsidR="001D5E53" w:rsidRPr="0058792C" w:rsidRDefault="001D5E53" w:rsidP="001D5E53">
      <w:pPr>
        <w:ind w:firstLine="708"/>
        <w:rPr>
          <w:rFonts w:cs="Times New Roman"/>
          <w:szCs w:val="24"/>
        </w:rPr>
      </w:pPr>
      <w:r w:rsidRPr="0058792C">
        <w:rPr>
          <w:rFonts w:cs="Times New Roman"/>
          <w:szCs w:val="24"/>
        </w:rPr>
        <w:t xml:space="preserve">C’est à partir de la loi 86/12 du 19/08/86, </w:t>
      </w:r>
      <w:r w:rsidRPr="00475E5A">
        <w:rPr>
          <w:rFonts w:cs="Times New Roman"/>
          <w:szCs w:val="24"/>
        </w:rPr>
        <w:t>relative au régime des banques et du crédit</w:t>
      </w:r>
      <w:r w:rsidRPr="0058792C">
        <w:rPr>
          <w:rFonts w:cs="Times New Roman"/>
          <w:szCs w:val="24"/>
        </w:rPr>
        <w:t xml:space="preserve">, que le système bancaire a commencé à retrouver </w:t>
      </w:r>
      <w:r>
        <w:rPr>
          <w:rFonts w:cs="Times New Roman"/>
          <w:szCs w:val="24"/>
        </w:rPr>
        <w:t xml:space="preserve">une stabilité. </w:t>
      </w:r>
      <w:r w:rsidRPr="0058792C">
        <w:rPr>
          <w:rFonts w:cs="Times New Roman"/>
          <w:szCs w:val="24"/>
        </w:rPr>
        <w:t>Cette loi a fondamentalement modifié la démarche en matière d’investissements productifs puisqu’elle renvoyait</w:t>
      </w:r>
      <w:r>
        <w:rPr>
          <w:rFonts w:cs="Times New Roman"/>
          <w:szCs w:val="24"/>
        </w:rPr>
        <w:t>,</w:t>
      </w:r>
      <w:r w:rsidRPr="0058792C">
        <w:rPr>
          <w:rFonts w:cs="Times New Roman"/>
          <w:szCs w:val="24"/>
        </w:rPr>
        <w:t xml:space="preserve"> sur l’entreprise la décision d’investir, et sur la banque la décision de financer</w:t>
      </w:r>
      <w:r w:rsidR="008A5B2B">
        <w:rPr>
          <w:rFonts w:cs="Times New Roman"/>
          <w:szCs w:val="24"/>
        </w:rPr>
        <w:t xml:space="preserve"> </w:t>
      </w:r>
      <w:r w:rsidRPr="0058792C">
        <w:rPr>
          <w:rFonts w:cs="Times New Roman"/>
          <w:szCs w:val="24"/>
        </w:rPr>
        <w:t>(ou pas) le projet présenté par l’entreprise publique.</w:t>
      </w:r>
    </w:p>
    <w:p w:rsidR="001D5E53" w:rsidRPr="0058792C" w:rsidRDefault="008A5B2B" w:rsidP="007F13A6">
      <w:pPr>
        <w:pStyle w:val="Titre3"/>
        <w:numPr>
          <w:ilvl w:val="0"/>
          <w:numId w:val="0"/>
        </w:numPr>
        <w:ind w:left="426"/>
      </w:pPr>
      <w:bookmarkStart w:id="20" w:name="_Toc431979979"/>
      <w:r>
        <w:t xml:space="preserve">2.1.1 </w:t>
      </w:r>
      <w:r w:rsidR="001D5E53" w:rsidRPr="0058792C">
        <w:t xml:space="preserve"> L’autonomie du système bancaire</w:t>
      </w:r>
      <w:bookmarkEnd w:id="20"/>
    </w:p>
    <w:p w:rsidR="001D5E53" w:rsidRPr="0058792C" w:rsidRDefault="001D5E53" w:rsidP="001D5E53">
      <w:pPr>
        <w:ind w:firstLine="708"/>
        <w:rPr>
          <w:rFonts w:cs="Times New Roman"/>
          <w:szCs w:val="24"/>
        </w:rPr>
      </w:pPr>
      <w:r w:rsidRPr="0058792C">
        <w:rPr>
          <w:rFonts w:cs="Times New Roman"/>
          <w:szCs w:val="24"/>
        </w:rPr>
        <w:t>La loi relative au régime des banques et du crédit du 19 Ao</w:t>
      </w:r>
      <w:r>
        <w:rPr>
          <w:rFonts w:cs="Times New Roman"/>
          <w:szCs w:val="24"/>
        </w:rPr>
        <w:t>û</w:t>
      </w:r>
      <w:r w:rsidRPr="0058792C">
        <w:rPr>
          <w:rFonts w:cs="Times New Roman"/>
          <w:szCs w:val="24"/>
        </w:rPr>
        <w:t>t 1986 est la première loi bancaire depuis l’indépendance du pays en 1962.</w:t>
      </w:r>
      <w:r w:rsidR="008A5B2B">
        <w:rPr>
          <w:rFonts w:cs="Times New Roman"/>
          <w:szCs w:val="24"/>
        </w:rPr>
        <w:t xml:space="preserve"> </w:t>
      </w:r>
      <w:r w:rsidRPr="0058792C">
        <w:rPr>
          <w:rFonts w:cs="Times New Roman"/>
          <w:szCs w:val="24"/>
        </w:rPr>
        <w:t>Elle</w:t>
      </w:r>
      <w:r>
        <w:rPr>
          <w:rFonts w:cs="Times New Roman"/>
          <w:szCs w:val="24"/>
        </w:rPr>
        <w:t xml:space="preserve"> eut</w:t>
      </w:r>
      <w:r w:rsidRPr="0058792C">
        <w:rPr>
          <w:rFonts w:cs="Times New Roman"/>
          <w:szCs w:val="24"/>
        </w:rPr>
        <w:t xml:space="preserve"> l’avantage de mettre fin au</w:t>
      </w:r>
      <w:r>
        <w:rPr>
          <w:rFonts w:cs="Times New Roman"/>
          <w:szCs w:val="24"/>
        </w:rPr>
        <w:t>x</w:t>
      </w:r>
      <w:r w:rsidRPr="0058792C">
        <w:rPr>
          <w:rFonts w:cs="Times New Roman"/>
          <w:szCs w:val="24"/>
        </w:rPr>
        <w:t xml:space="preserve"> textes réglementaires et ambigüe</w:t>
      </w:r>
      <w:r>
        <w:rPr>
          <w:rFonts w:cs="Times New Roman"/>
          <w:szCs w:val="24"/>
        </w:rPr>
        <w:t>s</w:t>
      </w:r>
      <w:r w:rsidRPr="0058792C">
        <w:rPr>
          <w:rFonts w:cs="Times New Roman"/>
          <w:szCs w:val="24"/>
        </w:rPr>
        <w:t xml:space="preserve"> qui régissent l’activité bancaire auparavant, le législateur a mis en place l’édifice complet nécessaire au fonctionnement du secteur bancaire afin de faire ressortir la spécificité propre au système bancaire et l’autonomie qui lui</w:t>
      </w:r>
      <w:r>
        <w:rPr>
          <w:rFonts w:cs="Times New Roman"/>
          <w:szCs w:val="24"/>
        </w:rPr>
        <w:t xml:space="preserve"> est</w:t>
      </w:r>
      <w:r w:rsidRPr="0058792C">
        <w:rPr>
          <w:rFonts w:cs="Times New Roman"/>
          <w:szCs w:val="24"/>
        </w:rPr>
        <w:t xml:space="preserve"> indispensable pour la régulation d’une économie.</w:t>
      </w:r>
    </w:p>
    <w:p w:rsidR="001D5E53" w:rsidRPr="0058792C" w:rsidRDefault="001D5E53" w:rsidP="001D5E53">
      <w:pPr>
        <w:rPr>
          <w:rFonts w:cs="Times New Roman"/>
          <w:szCs w:val="24"/>
        </w:rPr>
      </w:pPr>
      <w:r w:rsidRPr="0058792C">
        <w:rPr>
          <w:rFonts w:cs="Times New Roman"/>
          <w:szCs w:val="24"/>
        </w:rPr>
        <w:t xml:space="preserve">Cette loi fait apparaitre des dispositions apparemment contradictoires entre le plan et une autonomie toute relative au système financier. Il s’agit évidemment, de définir de l’activité des établissements du crédit ainsi que le rôle de la </w:t>
      </w:r>
      <w:r>
        <w:rPr>
          <w:rFonts w:cs="Times New Roman"/>
          <w:szCs w:val="24"/>
        </w:rPr>
        <w:t>B</w:t>
      </w:r>
      <w:r w:rsidRPr="0058792C">
        <w:rPr>
          <w:rFonts w:cs="Times New Roman"/>
          <w:szCs w:val="24"/>
        </w:rPr>
        <w:t xml:space="preserve">anque </w:t>
      </w:r>
      <w:r>
        <w:rPr>
          <w:rFonts w:cs="Times New Roman"/>
          <w:szCs w:val="24"/>
        </w:rPr>
        <w:t>C</w:t>
      </w:r>
      <w:r w:rsidRPr="0058792C">
        <w:rPr>
          <w:rFonts w:cs="Times New Roman"/>
          <w:szCs w:val="24"/>
        </w:rPr>
        <w:t>entrale.</w:t>
      </w:r>
    </w:p>
    <w:p w:rsidR="001D5E53" w:rsidRPr="007F13A6" w:rsidRDefault="008A5B2B" w:rsidP="007F13A6">
      <w:pPr>
        <w:ind w:left="426" w:firstLine="0"/>
        <w:rPr>
          <w:rFonts w:cs="Times New Roman"/>
          <w:szCs w:val="24"/>
        </w:rPr>
      </w:pPr>
      <w:r>
        <w:rPr>
          <w:rFonts w:cs="Times New Roman"/>
          <w:b/>
          <w:bCs/>
          <w:szCs w:val="24"/>
        </w:rPr>
        <w:t xml:space="preserve">2.1.1.1  </w:t>
      </w:r>
      <w:r w:rsidR="001D5E53" w:rsidRPr="007F13A6">
        <w:rPr>
          <w:rFonts w:cs="Times New Roman"/>
          <w:b/>
          <w:bCs/>
          <w:szCs w:val="24"/>
        </w:rPr>
        <w:t>La définition de l’activité des établissements des crédits</w:t>
      </w:r>
    </w:p>
    <w:p w:rsidR="001D5E53" w:rsidRPr="0058792C" w:rsidRDefault="001D5E53" w:rsidP="001D5E53">
      <w:pPr>
        <w:rPr>
          <w:rFonts w:cs="Times New Roman"/>
          <w:szCs w:val="24"/>
        </w:rPr>
      </w:pPr>
      <w:r w:rsidRPr="0058792C">
        <w:rPr>
          <w:rFonts w:cs="Times New Roman"/>
          <w:szCs w:val="24"/>
        </w:rPr>
        <w:t>L’article 15 de la loi de 19-08-</w:t>
      </w:r>
      <w:r>
        <w:rPr>
          <w:rFonts w:cs="Times New Roman"/>
          <w:szCs w:val="24"/>
        </w:rPr>
        <w:t>19</w:t>
      </w:r>
      <w:r w:rsidR="008A5B2B">
        <w:rPr>
          <w:rFonts w:cs="Times New Roman"/>
          <w:szCs w:val="24"/>
        </w:rPr>
        <w:t>86</w:t>
      </w:r>
      <w:r w:rsidRPr="0058792C">
        <w:rPr>
          <w:rFonts w:cs="Times New Roman"/>
          <w:szCs w:val="24"/>
        </w:rPr>
        <w:t xml:space="preserve"> relative au régime des banques et du crédit</w:t>
      </w:r>
      <w:r w:rsidR="008A5B2B">
        <w:rPr>
          <w:rFonts w:cs="Times New Roman"/>
          <w:szCs w:val="24"/>
        </w:rPr>
        <w:t>,</w:t>
      </w:r>
      <w:r w:rsidRPr="0058792C">
        <w:rPr>
          <w:rFonts w:cs="Times New Roman"/>
          <w:szCs w:val="24"/>
        </w:rPr>
        <w:t xml:space="preserve"> définis les établissements d</w:t>
      </w:r>
      <w:r>
        <w:rPr>
          <w:rFonts w:cs="Times New Roman"/>
          <w:szCs w:val="24"/>
        </w:rPr>
        <w:t>e</w:t>
      </w:r>
      <w:r w:rsidRPr="0058792C">
        <w:rPr>
          <w:rFonts w:cs="Times New Roman"/>
          <w:szCs w:val="24"/>
        </w:rPr>
        <w:t xml:space="preserve"> crédits comme des personnes morales qui effectuent </w:t>
      </w:r>
      <w:r>
        <w:rPr>
          <w:rFonts w:cs="Times New Roman"/>
          <w:szCs w:val="24"/>
        </w:rPr>
        <w:t>à</w:t>
      </w:r>
      <w:r w:rsidRPr="0058792C">
        <w:rPr>
          <w:rFonts w:cs="Times New Roman"/>
          <w:szCs w:val="24"/>
        </w:rPr>
        <w:t xml:space="preserve"> titre de profession habituelles des opérations de banques.</w:t>
      </w:r>
    </w:p>
    <w:p w:rsidR="001D5E53" w:rsidRPr="0058792C" w:rsidRDefault="001D5E53" w:rsidP="001D5E53">
      <w:pPr>
        <w:rPr>
          <w:rFonts w:cs="Times New Roman"/>
          <w:szCs w:val="24"/>
        </w:rPr>
      </w:pPr>
      <w:r w:rsidRPr="0058792C">
        <w:rPr>
          <w:rFonts w:cs="Times New Roman"/>
          <w:szCs w:val="24"/>
        </w:rPr>
        <w:lastRenderedPageBreak/>
        <w:t xml:space="preserve">Ainsi, son article 17, stipule que </w:t>
      </w:r>
      <w:r w:rsidR="008A5B2B">
        <w:rPr>
          <w:rFonts w:cs="Times New Roman"/>
          <w:szCs w:val="24"/>
        </w:rPr>
        <w:t>« </w:t>
      </w:r>
      <w:r w:rsidRPr="0058792C">
        <w:rPr>
          <w:rFonts w:cs="Times New Roman"/>
          <w:szCs w:val="24"/>
        </w:rPr>
        <w:t>les établissements de crédit se définissent à partir de leurs fonctions économiques</w:t>
      </w:r>
      <w:r>
        <w:rPr>
          <w:rFonts w:cs="Times New Roman"/>
          <w:szCs w:val="24"/>
        </w:rPr>
        <w:t xml:space="preserve">, </w:t>
      </w:r>
      <w:r w:rsidRPr="0058792C">
        <w:rPr>
          <w:rFonts w:cs="Times New Roman"/>
          <w:szCs w:val="24"/>
        </w:rPr>
        <w:t>c’est-à-dire la réalisation d’opération de crédit, la réception de fonds publics, opérations de crédit, émissions ou gestion de moyens de paiement</w:t>
      </w:r>
      <w:r w:rsidR="008A5B2B">
        <w:rPr>
          <w:rFonts w:cs="Times New Roman"/>
          <w:szCs w:val="24"/>
        </w:rPr>
        <w:t> »</w:t>
      </w:r>
      <w:r w:rsidRPr="0058792C">
        <w:rPr>
          <w:rFonts w:cs="Times New Roman"/>
          <w:szCs w:val="24"/>
        </w:rPr>
        <w:t>.</w:t>
      </w:r>
      <w:r w:rsidRPr="0058792C">
        <w:rPr>
          <w:rStyle w:val="Appelnotedebasdep"/>
          <w:rFonts w:cs="Times New Roman"/>
          <w:szCs w:val="24"/>
        </w:rPr>
        <w:footnoteReference w:id="8"/>
      </w:r>
    </w:p>
    <w:p w:rsidR="001D5E53" w:rsidRPr="008A5B2B" w:rsidRDefault="008A5B2B" w:rsidP="00D95740">
      <w:pPr>
        <w:pStyle w:val="Paragraphedeliste"/>
        <w:numPr>
          <w:ilvl w:val="3"/>
          <w:numId w:val="38"/>
        </w:numPr>
        <w:rPr>
          <w:rFonts w:cs="Times New Roman"/>
          <w:b/>
          <w:bCs/>
          <w:szCs w:val="24"/>
        </w:rPr>
      </w:pPr>
      <w:r>
        <w:rPr>
          <w:rFonts w:cs="Times New Roman"/>
          <w:b/>
          <w:bCs/>
          <w:szCs w:val="24"/>
        </w:rPr>
        <w:t xml:space="preserve">  </w:t>
      </w:r>
      <w:r w:rsidR="001D5E53" w:rsidRPr="008A5B2B">
        <w:rPr>
          <w:rFonts w:cs="Times New Roman"/>
          <w:b/>
          <w:bCs/>
          <w:szCs w:val="24"/>
        </w:rPr>
        <w:t>Rôles de la banque centrale.</w:t>
      </w:r>
    </w:p>
    <w:p w:rsidR="001D5E53" w:rsidRPr="0058792C" w:rsidRDefault="001D5E53" w:rsidP="007B0B28">
      <w:pPr>
        <w:rPr>
          <w:rFonts w:cs="Times New Roman"/>
          <w:szCs w:val="24"/>
        </w:rPr>
      </w:pPr>
      <w:r w:rsidRPr="0058792C">
        <w:rPr>
          <w:rFonts w:cs="Times New Roman"/>
          <w:szCs w:val="24"/>
        </w:rPr>
        <w:t xml:space="preserve">La loi bancaire de 1986 </w:t>
      </w:r>
      <w:r>
        <w:rPr>
          <w:rFonts w:cs="Times New Roman"/>
          <w:szCs w:val="24"/>
        </w:rPr>
        <w:t>a</w:t>
      </w:r>
      <w:r w:rsidRPr="0058792C">
        <w:rPr>
          <w:rFonts w:cs="Times New Roman"/>
          <w:szCs w:val="24"/>
        </w:rPr>
        <w:t xml:space="preserve"> assign</w:t>
      </w:r>
      <w:r>
        <w:rPr>
          <w:rFonts w:cs="Times New Roman"/>
          <w:szCs w:val="24"/>
        </w:rPr>
        <w:t>é</w:t>
      </w:r>
      <w:r w:rsidRPr="0058792C">
        <w:rPr>
          <w:rFonts w:cs="Times New Roman"/>
          <w:szCs w:val="24"/>
        </w:rPr>
        <w:t xml:space="preserve"> un rôle plus actif </w:t>
      </w:r>
      <w:r>
        <w:rPr>
          <w:rFonts w:cs="Times New Roman"/>
          <w:szCs w:val="24"/>
        </w:rPr>
        <w:t>à</w:t>
      </w:r>
      <w:r w:rsidRPr="0058792C">
        <w:rPr>
          <w:rFonts w:cs="Times New Roman"/>
          <w:szCs w:val="24"/>
        </w:rPr>
        <w:t xml:space="preserve"> la </w:t>
      </w:r>
      <w:r>
        <w:rPr>
          <w:rFonts w:cs="Times New Roman"/>
          <w:szCs w:val="24"/>
        </w:rPr>
        <w:t>B</w:t>
      </w:r>
      <w:r w:rsidRPr="0058792C">
        <w:rPr>
          <w:rFonts w:cs="Times New Roman"/>
          <w:szCs w:val="24"/>
        </w:rPr>
        <w:t xml:space="preserve">anque </w:t>
      </w:r>
      <w:r>
        <w:rPr>
          <w:rFonts w:cs="Times New Roman"/>
          <w:szCs w:val="24"/>
        </w:rPr>
        <w:t>C</w:t>
      </w:r>
      <w:r w:rsidRPr="0058792C">
        <w:rPr>
          <w:rFonts w:cs="Times New Roman"/>
          <w:szCs w:val="24"/>
        </w:rPr>
        <w:t>entrale</w:t>
      </w:r>
      <w:r>
        <w:rPr>
          <w:rFonts w:cs="Times New Roman"/>
          <w:szCs w:val="24"/>
        </w:rPr>
        <w:t>.</w:t>
      </w:r>
      <w:r w:rsidRPr="0058792C">
        <w:rPr>
          <w:rFonts w:cs="Times New Roman"/>
          <w:szCs w:val="24"/>
        </w:rPr>
        <w:t xml:space="preserve"> Ainsi</w:t>
      </w:r>
      <w:r>
        <w:rPr>
          <w:rFonts w:cs="Times New Roman"/>
          <w:szCs w:val="24"/>
        </w:rPr>
        <w:t>,</w:t>
      </w:r>
      <w:r w:rsidRPr="0058792C">
        <w:rPr>
          <w:rFonts w:cs="Times New Roman"/>
          <w:szCs w:val="24"/>
        </w:rPr>
        <w:t xml:space="preserve"> son article 19 stipule : « la </w:t>
      </w:r>
      <w:r>
        <w:rPr>
          <w:rFonts w:cs="Times New Roman"/>
          <w:szCs w:val="24"/>
        </w:rPr>
        <w:t>B</w:t>
      </w:r>
      <w:r w:rsidRPr="0058792C">
        <w:rPr>
          <w:rFonts w:cs="Times New Roman"/>
          <w:szCs w:val="24"/>
        </w:rPr>
        <w:t xml:space="preserve">anque </w:t>
      </w:r>
      <w:r>
        <w:rPr>
          <w:rFonts w:cs="Times New Roman"/>
          <w:szCs w:val="24"/>
        </w:rPr>
        <w:t>C</w:t>
      </w:r>
      <w:r w:rsidRPr="0058792C">
        <w:rPr>
          <w:rFonts w:cs="Times New Roman"/>
          <w:szCs w:val="24"/>
        </w:rPr>
        <w:t>entrale est chargée dans le cadre de l’élaboration, de la mise en œuvre et du suivi du plan national de crédit, de régler et de contrôler dans l’exercice du privilège d’émission et par des moyens appropriés, la distribution des crédits à l’économie et au bon fonctionnement du système bancaire</w:t>
      </w:r>
      <w:r w:rsidR="008A5B2B">
        <w:rPr>
          <w:rFonts w:cs="Times New Roman"/>
          <w:szCs w:val="24"/>
        </w:rPr>
        <w:t> »</w:t>
      </w:r>
      <w:r w:rsidRPr="0058792C">
        <w:rPr>
          <w:rFonts w:cs="Times New Roman"/>
          <w:szCs w:val="24"/>
        </w:rPr>
        <w:t>.</w:t>
      </w:r>
    </w:p>
    <w:p w:rsidR="001D5E53" w:rsidRPr="0058792C" w:rsidRDefault="001D5E53" w:rsidP="00D95740">
      <w:pPr>
        <w:pStyle w:val="Titre3"/>
        <w:numPr>
          <w:ilvl w:val="2"/>
          <w:numId w:val="38"/>
        </w:numPr>
      </w:pPr>
      <w:bookmarkStart w:id="21" w:name="_Toc431979980"/>
      <w:r w:rsidRPr="0058792C">
        <w:t>Les insuffisances de la loi bancaire 86</w:t>
      </w:r>
      <w:bookmarkEnd w:id="21"/>
    </w:p>
    <w:p w:rsidR="001D5E53" w:rsidRPr="0058792C" w:rsidRDefault="001D5E53" w:rsidP="001D5E53">
      <w:pPr>
        <w:rPr>
          <w:rFonts w:cs="Times New Roman"/>
          <w:szCs w:val="24"/>
        </w:rPr>
      </w:pPr>
      <w:r w:rsidRPr="0058792C">
        <w:rPr>
          <w:rFonts w:cs="Times New Roman"/>
          <w:szCs w:val="24"/>
        </w:rPr>
        <w:t>Cette loi procède à une refonte complète du système bancaire ma</w:t>
      </w:r>
      <w:r>
        <w:rPr>
          <w:rFonts w:cs="Times New Roman"/>
          <w:szCs w:val="24"/>
        </w:rPr>
        <w:t>i</w:t>
      </w:r>
      <w:r w:rsidRPr="0058792C">
        <w:rPr>
          <w:rFonts w:cs="Times New Roman"/>
          <w:szCs w:val="24"/>
        </w:rPr>
        <w:t xml:space="preserve">s son objectif réel, qui est la détermination d’un cadre juridique commun à l’activité de tous les établissements de crédit, n’était pas atteint, car l’article 60 de la loi 86/12 stipule que sa mise en œuvre est conditionnée par la publication des statuts, en particuliers ceux de la </w:t>
      </w:r>
      <w:r>
        <w:rPr>
          <w:rFonts w:cs="Times New Roman"/>
          <w:szCs w:val="24"/>
        </w:rPr>
        <w:t>B</w:t>
      </w:r>
      <w:r w:rsidRPr="0058792C">
        <w:rPr>
          <w:rFonts w:cs="Times New Roman"/>
          <w:szCs w:val="24"/>
        </w:rPr>
        <w:t xml:space="preserve">anque </w:t>
      </w:r>
      <w:r>
        <w:rPr>
          <w:rFonts w:cs="Times New Roman"/>
          <w:szCs w:val="24"/>
        </w:rPr>
        <w:t>C</w:t>
      </w:r>
      <w:r w:rsidRPr="0058792C">
        <w:rPr>
          <w:rFonts w:cs="Times New Roman"/>
          <w:szCs w:val="24"/>
        </w:rPr>
        <w:t>entrale, ne sont élaborés que tardivement à cause de lenteur et des incohérences de déploiement des mesures de réformes économiques.</w:t>
      </w:r>
    </w:p>
    <w:p w:rsidR="001D5E53" w:rsidRPr="0058792C" w:rsidRDefault="001D5E53" w:rsidP="001D5E53">
      <w:pPr>
        <w:rPr>
          <w:rFonts w:cs="Times New Roman"/>
          <w:szCs w:val="24"/>
        </w:rPr>
      </w:pPr>
      <w:r w:rsidRPr="0058792C">
        <w:rPr>
          <w:rFonts w:cs="Times New Roman"/>
          <w:szCs w:val="24"/>
        </w:rPr>
        <w:t>La loi bancaire 86/12 est restée fortement dépendante des hydrocarbures qui représentent près de 95% des recettes d’exploitation du pays.</w:t>
      </w:r>
    </w:p>
    <w:p w:rsidR="001D5E53" w:rsidRPr="0058792C" w:rsidRDefault="001D5E53" w:rsidP="001D5E53">
      <w:pPr>
        <w:rPr>
          <w:rFonts w:cs="Times New Roman"/>
          <w:szCs w:val="24"/>
        </w:rPr>
      </w:pPr>
      <w:r w:rsidRPr="0058792C">
        <w:rPr>
          <w:rFonts w:cs="Times New Roman"/>
          <w:szCs w:val="24"/>
        </w:rPr>
        <w:t>La faiblesse du régime de la planification centrale est ressortie plus nettement en 1986, lorsque le contre choc pétroliers a entrainé en Algérie une baisse d’environ 5% des termes de l’échange et des recettes budgétaires provenant du secteur hydrocarbures.</w:t>
      </w:r>
    </w:p>
    <w:p w:rsidR="001D5E53" w:rsidRPr="0058792C" w:rsidRDefault="001D5E53" w:rsidP="001D5E53">
      <w:pPr>
        <w:rPr>
          <w:rFonts w:cs="Times New Roman"/>
          <w:szCs w:val="24"/>
        </w:rPr>
      </w:pPr>
      <w:r w:rsidRPr="0058792C">
        <w:rPr>
          <w:rFonts w:cs="Times New Roman"/>
          <w:szCs w:val="24"/>
        </w:rPr>
        <w:t>Les autorités n’ont toutefois réagi, de façon  significative, que tardivement  en procédant à d’autre reformes (la réforme de 1988, la loi 90/10 relative à la monnaie et le crédit).</w:t>
      </w:r>
    </w:p>
    <w:p w:rsidR="001D5E53" w:rsidRPr="0058792C" w:rsidRDefault="006D5B1A" w:rsidP="001D5E53">
      <w:pPr>
        <w:pStyle w:val="Titre2"/>
      </w:pPr>
      <w:bookmarkStart w:id="22" w:name="_Toc431979981"/>
      <w:r>
        <w:t xml:space="preserve">2.2 </w:t>
      </w:r>
      <w:r w:rsidR="001D5E53" w:rsidRPr="0058792C">
        <w:t xml:space="preserve"> La réforme de 1988 « loi n° 88- 06 du 12 janvier 1988</w:t>
      </w:r>
      <w:bookmarkEnd w:id="22"/>
      <w:r>
        <w:t> »</w:t>
      </w:r>
    </w:p>
    <w:p w:rsidR="001D5E53" w:rsidRPr="0058792C" w:rsidRDefault="001D5E53" w:rsidP="001D5E53">
      <w:pPr>
        <w:rPr>
          <w:rFonts w:cs="Times New Roman"/>
          <w:szCs w:val="24"/>
        </w:rPr>
      </w:pPr>
      <w:r w:rsidRPr="0058792C">
        <w:rPr>
          <w:rFonts w:cs="Times New Roman"/>
          <w:szCs w:val="24"/>
        </w:rPr>
        <w:t xml:space="preserve">La loi de 12 janvier 1988 redéfinit  le statut des établissements de crédit et de la </w:t>
      </w:r>
      <w:r>
        <w:rPr>
          <w:rFonts w:cs="Times New Roman"/>
          <w:szCs w:val="24"/>
        </w:rPr>
        <w:t>B</w:t>
      </w:r>
      <w:r w:rsidRPr="0058792C">
        <w:rPr>
          <w:rFonts w:cs="Times New Roman"/>
          <w:szCs w:val="24"/>
        </w:rPr>
        <w:t xml:space="preserve">anque </w:t>
      </w:r>
      <w:r w:rsidR="006D5B1A">
        <w:rPr>
          <w:rFonts w:cs="Times New Roman"/>
          <w:szCs w:val="24"/>
        </w:rPr>
        <w:t xml:space="preserve">Centrale </w:t>
      </w:r>
      <w:r w:rsidRPr="0058792C">
        <w:rPr>
          <w:rFonts w:cs="Times New Roman"/>
          <w:szCs w:val="24"/>
        </w:rPr>
        <w:t>d’Algérie, conformément à la loi d’orientation sur les entreprises publiques.</w:t>
      </w:r>
    </w:p>
    <w:p w:rsidR="001D5E53" w:rsidRPr="0058792C" w:rsidRDefault="001D5E53" w:rsidP="001D5E53">
      <w:pPr>
        <w:rPr>
          <w:rFonts w:cs="Times New Roman"/>
          <w:szCs w:val="24"/>
        </w:rPr>
      </w:pPr>
      <w:r w:rsidRPr="0058792C">
        <w:rPr>
          <w:rFonts w:cs="Times New Roman"/>
          <w:szCs w:val="24"/>
        </w:rPr>
        <w:t xml:space="preserve">Cette loi renforce encore d’avantage le rôle de la </w:t>
      </w:r>
      <w:r>
        <w:rPr>
          <w:rFonts w:cs="Times New Roman"/>
          <w:szCs w:val="24"/>
        </w:rPr>
        <w:t>B</w:t>
      </w:r>
      <w:r w:rsidRPr="0058792C">
        <w:rPr>
          <w:rFonts w:cs="Times New Roman"/>
          <w:szCs w:val="24"/>
        </w:rPr>
        <w:t xml:space="preserve">anque </w:t>
      </w:r>
      <w:r>
        <w:rPr>
          <w:rFonts w:cs="Times New Roman"/>
          <w:szCs w:val="24"/>
        </w:rPr>
        <w:t>C</w:t>
      </w:r>
      <w:r w:rsidRPr="0058792C">
        <w:rPr>
          <w:rFonts w:cs="Times New Roman"/>
          <w:szCs w:val="24"/>
        </w:rPr>
        <w:t>entrale d’Algérie, notamment dans la gestion des investissements de la politique monétaire.</w:t>
      </w:r>
    </w:p>
    <w:p w:rsidR="001D5E53" w:rsidRPr="0058792C" w:rsidRDefault="001D5E53" w:rsidP="00D95740">
      <w:pPr>
        <w:pStyle w:val="Titre3"/>
        <w:numPr>
          <w:ilvl w:val="2"/>
          <w:numId w:val="35"/>
        </w:numPr>
      </w:pPr>
      <w:bookmarkStart w:id="23" w:name="_Toc431979982"/>
      <w:r w:rsidRPr="0058792C">
        <w:lastRenderedPageBreak/>
        <w:t xml:space="preserve"> Le désengagement de l’Etat Algérien et l’avènement de l’économie de marché</w:t>
      </w:r>
      <w:bookmarkEnd w:id="23"/>
    </w:p>
    <w:p w:rsidR="001D5E53" w:rsidRPr="0058792C" w:rsidRDefault="001D5E53" w:rsidP="001D5E53">
      <w:r w:rsidRPr="0058792C">
        <w:t>La modification de la loi N° 86-12 du 19 Ao</w:t>
      </w:r>
      <w:r>
        <w:t>û</w:t>
      </w:r>
      <w:r w:rsidRPr="0058792C">
        <w:t>t 1986 par la loi complémentaire n°88</w:t>
      </w:r>
      <w:r>
        <w:t>/</w:t>
      </w:r>
      <w:r w:rsidRPr="0058792C">
        <w:t xml:space="preserve">06 du 12 janvier 1988, vise </w:t>
      </w:r>
      <w:r>
        <w:t>à</w:t>
      </w:r>
      <w:r w:rsidRPr="0058792C">
        <w:t xml:space="preserve"> la mettre en harmonie avec la réforme centrée sur l’autonomie des entreprises. Dans ce cadre, les institutions financières sont appelées </w:t>
      </w:r>
      <w:r>
        <w:t>à</w:t>
      </w:r>
      <w:r w:rsidRPr="0058792C">
        <w:t xml:space="preserve"> être érigées en entreprises publiques économiques.</w:t>
      </w:r>
    </w:p>
    <w:p w:rsidR="001D5E53" w:rsidRPr="0058792C" w:rsidRDefault="001D5E53" w:rsidP="001D5E53">
      <w:r w:rsidRPr="0058792C">
        <w:t xml:space="preserve">Au plan des entreprises et </w:t>
      </w:r>
      <w:r>
        <w:t xml:space="preserve">de </w:t>
      </w:r>
      <w:r w:rsidRPr="0058792C">
        <w:t>l’action induite par les réformes, on peut citer entre autre, les suivantes :</w:t>
      </w:r>
    </w:p>
    <w:p w:rsidR="001D5E53" w:rsidRPr="0058792C" w:rsidRDefault="001D5E53" w:rsidP="009C708D">
      <w:pPr>
        <w:pStyle w:val="Paragraphedeliste"/>
        <w:numPr>
          <w:ilvl w:val="0"/>
          <w:numId w:val="2"/>
        </w:numPr>
        <w:rPr>
          <w:rFonts w:cs="Times New Roman"/>
          <w:szCs w:val="24"/>
        </w:rPr>
      </w:pPr>
      <w:r w:rsidRPr="0058792C">
        <w:rPr>
          <w:rFonts w:cs="Times New Roman"/>
          <w:szCs w:val="24"/>
        </w:rPr>
        <w:t xml:space="preserve">La mise en place d’organes consultatifs et contrôle tels que le </w:t>
      </w:r>
      <w:r>
        <w:rPr>
          <w:rFonts w:cs="Times New Roman"/>
          <w:szCs w:val="24"/>
        </w:rPr>
        <w:t>C</w:t>
      </w:r>
      <w:r w:rsidRPr="0058792C">
        <w:rPr>
          <w:rFonts w:cs="Times New Roman"/>
          <w:szCs w:val="24"/>
        </w:rPr>
        <w:t xml:space="preserve">onseil </w:t>
      </w:r>
      <w:r>
        <w:rPr>
          <w:rFonts w:cs="Times New Roman"/>
          <w:szCs w:val="24"/>
        </w:rPr>
        <w:t>N</w:t>
      </w:r>
      <w:r w:rsidRPr="0058792C">
        <w:rPr>
          <w:rFonts w:cs="Times New Roman"/>
          <w:szCs w:val="24"/>
        </w:rPr>
        <w:t xml:space="preserve">ational du </w:t>
      </w:r>
      <w:r>
        <w:rPr>
          <w:rFonts w:cs="Times New Roman"/>
          <w:szCs w:val="24"/>
        </w:rPr>
        <w:t>C</w:t>
      </w:r>
      <w:r w:rsidRPr="0058792C">
        <w:rPr>
          <w:rFonts w:cs="Times New Roman"/>
          <w:szCs w:val="24"/>
        </w:rPr>
        <w:t xml:space="preserve">rédit et la </w:t>
      </w:r>
      <w:r>
        <w:rPr>
          <w:rFonts w:cs="Times New Roman"/>
          <w:szCs w:val="24"/>
        </w:rPr>
        <w:t>C</w:t>
      </w:r>
      <w:r w:rsidRPr="0058792C">
        <w:rPr>
          <w:rFonts w:cs="Times New Roman"/>
          <w:szCs w:val="24"/>
        </w:rPr>
        <w:t xml:space="preserve">ommission de </w:t>
      </w:r>
      <w:r>
        <w:rPr>
          <w:rFonts w:cs="Times New Roman"/>
          <w:szCs w:val="24"/>
        </w:rPr>
        <w:t>C</w:t>
      </w:r>
      <w:r w:rsidRPr="0058792C">
        <w:rPr>
          <w:rFonts w:cs="Times New Roman"/>
          <w:szCs w:val="24"/>
        </w:rPr>
        <w:t xml:space="preserve">ontrôle des </w:t>
      </w:r>
      <w:r>
        <w:rPr>
          <w:rFonts w:cs="Times New Roman"/>
          <w:szCs w:val="24"/>
        </w:rPr>
        <w:t>B</w:t>
      </w:r>
      <w:r w:rsidR="006D5B1A">
        <w:rPr>
          <w:rFonts w:cs="Times New Roman"/>
          <w:szCs w:val="24"/>
        </w:rPr>
        <w:t>anques ;</w:t>
      </w:r>
    </w:p>
    <w:p w:rsidR="001D5E53" w:rsidRPr="0058792C" w:rsidRDefault="001D5E53" w:rsidP="009C708D">
      <w:pPr>
        <w:pStyle w:val="Paragraphedeliste"/>
        <w:numPr>
          <w:ilvl w:val="0"/>
          <w:numId w:val="2"/>
        </w:numPr>
        <w:rPr>
          <w:rFonts w:cs="Times New Roman"/>
          <w:szCs w:val="24"/>
        </w:rPr>
      </w:pPr>
      <w:r w:rsidRPr="0058792C">
        <w:rPr>
          <w:rFonts w:cs="Times New Roman"/>
          <w:szCs w:val="24"/>
        </w:rPr>
        <w:t xml:space="preserve">La mise en place d’un </w:t>
      </w:r>
      <w:r>
        <w:rPr>
          <w:rFonts w:cs="Times New Roman"/>
          <w:szCs w:val="24"/>
        </w:rPr>
        <w:t xml:space="preserve">véritable </w:t>
      </w:r>
      <w:r w:rsidRPr="0058792C">
        <w:rPr>
          <w:rFonts w:cs="Times New Roman"/>
          <w:szCs w:val="24"/>
        </w:rPr>
        <w:t>système bancaire à «  deux niveau  ».</w:t>
      </w:r>
      <w:r w:rsidR="006D5B1A">
        <w:rPr>
          <w:rFonts w:cs="Times New Roman"/>
          <w:szCs w:val="24"/>
        </w:rPr>
        <w:t xml:space="preserve"> </w:t>
      </w:r>
      <w:r w:rsidRPr="0058792C">
        <w:rPr>
          <w:rFonts w:cs="Times New Roman"/>
          <w:szCs w:val="24"/>
        </w:rPr>
        <w:t>Il s’agit de la séparation institutionnelle du rôle de la banque en tant que « préteur en dernier ressort »et de l’activité de crédit par les institutions bancaire</w:t>
      </w:r>
      <w:r>
        <w:rPr>
          <w:rFonts w:cs="Times New Roman"/>
          <w:szCs w:val="24"/>
        </w:rPr>
        <w:t>s</w:t>
      </w:r>
      <w:r w:rsidR="006D5B1A">
        <w:rPr>
          <w:rFonts w:cs="Times New Roman"/>
          <w:szCs w:val="24"/>
        </w:rPr>
        <w:t> ;</w:t>
      </w:r>
      <w:r w:rsidRPr="0058792C">
        <w:rPr>
          <w:rStyle w:val="Appelnotedebasdep"/>
          <w:rFonts w:cs="Times New Roman"/>
          <w:szCs w:val="24"/>
        </w:rPr>
        <w:footnoteReference w:id="9"/>
      </w:r>
    </w:p>
    <w:p w:rsidR="001D5E53" w:rsidRPr="0058792C" w:rsidRDefault="006D5B1A" w:rsidP="009C708D">
      <w:pPr>
        <w:pStyle w:val="Paragraphedeliste"/>
        <w:numPr>
          <w:ilvl w:val="0"/>
          <w:numId w:val="2"/>
        </w:numPr>
        <w:rPr>
          <w:rFonts w:cs="Times New Roman"/>
          <w:szCs w:val="24"/>
        </w:rPr>
      </w:pPr>
      <w:r>
        <w:rPr>
          <w:rFonts w:cs="Times New Roman"/>
          <w:szCs w:val="24"/>
        </w:rPr>
        <w:t>Non autonomie de financement ;</w:t>
      </w:r>
    </w:p>
    <w:p w:rsidR="001D5E53" w:rsidRPr="0058792C" w:rsidRDefault="001D5E53" w:rsidP="009C708D">
      <w:pPr>
        <w:pStyle w:val="Paragraphedeliste"/>
        <w:numPr>
          <w:ilvl w:val="0"/>
          <w:numId w:val="2"/>
        </w:numPr>
        <w:rPr>
          <w:rFonts w:cs="Times New Roman"/>
          <w:szCs w:val="24"/>
        </w:rPr>
      </w:pPr>
      <w:r w:rsidRPr="0058792C">
        <w:rPr>
          <w:rFonts w:cs="Times New Roman"/>
          <w:szCs w:val="24"/>
        </w:rPr>
        <w:t>Le développement et l’approfondissement de l’intermédiation financière qui impli</w:t>
      </w:r>
      <w:r>
        <w:rPr>
          <w:rFonts w:cs="Times New Roman"/>
          <w:szCs w:val="24"/>
        </w:rPr>
        <w:t>que.</w:t>
      </w:r>
    </w:p>
    <w:p w:rsidR="001D5E53" w:rsidRPr="0058792C" w:rsidRDefault="001D5E53" w:rsidP="00D95740">
      <w:pPr>
        <w:pStyle w:val="Titre3"/>
        <w:numPr>
          <w:ilvl w:val="2"/>
          <w:numId w:val="39"/>
        </w:numPr>
      </w:pPr>
      <w:bookmarkStart w:id="24" w:name="_Toc431979983"/>
      <w:r>
        <w:t>T</w:t>
      </w:r>
      <w:r w:rsidRPr="0058792C">
        <w:t>extes relati</w:t>
      </w:r>
      <w:r>
        <w:t>f</w:t>
      </w:r>
      <w:r w:rsidRPr="0058792C">
        <w:t xml:space="preserve">s à la loi N° 88/06 </w:t>
      </w:r>
      <w:r>
        <w:t xml:space="preserve">du </w:t>
      </w:r>
      <w:r w:rsidRPr="0058792C">
        <w:t>12/01/1988</w:t>
      </w:r>
      <w:bookmarkEnd w:id="24"/>
    </w:p>
    <w:p w:rsidR="001D5E53" w:rsidRPr="0058792C" w:rsidRDefault="001D5E53" w:rsidP="001D5E53">
      <w:pPr>
        <w:rPr>
          <w:rFonts w:cs="Times New Roman"/>
          <w:szCs w:val="24"/>
        </w:rPr>
      </w:pPr>
      <w:r w:rsidRPr="0058792C">
        <w:rPr>
          <w:rFonts w:cs="Times New Roman"/>
          <w:szCs w:val="24"/>
        </w:rPr>
        <w:t>D’après la loi n° 88</w:t>
      </w:r>
      <w:r>
        <w:rPr>
          <w:rFonts w:cs="Times New Roman"/>
          <w:szCs w:val="24"/>
        </w:rPr>
        <w:t>/</w:t>
      </w:r>
      <w:r w:rsidRPr="0058792C">
        <w:rPr>
          <w:rFonts w:cs="Times New Roman"/>
          <w:szCs w:val="24"/>
        </w:rPr>
        <w:t xml:space="preserve">06 du 12 </w:t>
      </w:r>
      <w:r>
        <w:rPr>
          <w:rFonts w:cs="Times New Roman"/>
          <w:szCs w:val="24"/>
        </w:rPr>
        <w:t>J</w:t>
      </w:r>
      <w:r w:rsidRPr="0058792C">
        <w:rPr>
          <w:rFonts w:cs="Times New Roman"/>
          <w:szCs w:val="24"/>
        </w:rPr>
        <w:t>anvier 1988</w:t>
      </w:r>
      <w:r>
        <w:rPr>
          <w:rFonts w:cs="Times New Roman"/>
          <w:szCs w:val="24"/>
        </w:rPr>
        <w:t>,</w:t>
      </w:r>
      <w:r w:rsidRPr="0058792C">
        <w:rPr>
          <w:rFonts w:cs="Times New Roman"/>
          <w:szCs w:val="24"/>
        </w:rPr>
        <w:t xml:space="preserve"> l’</w:t>
      </w:r>
      <w:r>
        <w:rPr>
          <w:rFonts w:cs="Times New Roman"/>
          <w:szCs w:val="24"/>
        </w:rPr>
        <w:t>E</w:t>
      </w:r>
      <w:r w:rsidRPr="0058792C">
        <w:rPr>
          <w:rFonts w:cs="Times New Roman"/>
          <w:szCs w:val="24"/>
        </w:rPr>
        <w:t xml:space="preserve">ntreprise </w:t>
      </w:r>
      <w:r>
        <w:rPr>
          <w:rFonts w:cs="Times New Roman"/>
          <w:szCs w:val="24"/>
        </w:rPr>
        <w:t>P</w:t>
      </w:r>
      <w:r w:rsidRPr="0058792C">
        <w:rPr>
          <w:rFonts w:cs="Times New Roman"/>
          <w:szCs w:val="24"/>
        </w:rPr>
        <w:t xml:space="preserve">ublique </w:t>
      </w:r>
      <w:r>
        <w:rPr>
          <w:rFonts w:cs="Times New Roman"/>
          <w:szCs w:val="24"/>
        </w:rPr>
        <w:t>E</w:t>
      </w:r>
      <w:r w:rsidRPr="0058792C">
        <w:rPr>
          <w:rFonts w:cs="Times New Roman"/>
          <w:szCs w:val="24"/>
        </w:rPr>
        <w:t>conomique (EPE), concept substitué à celui d’entreprise nationale ou l’entreprise locale, est une personne morale de droit privé, dotée d’un capital social et d</w:t>
      </w:r>
      <w:r>
        <w:rPr>
          <w:rFonts w:cs="Times New Roman"/>
          <w:szCs w:val="24"/>
        </w:rPr>
        <w:t>’une</w:t>
      </w:r>
      <w:r w:rsidRPr="0058792C">
        <w:rPr>
          <w:rFonts w:cs="Times New Roman"/>
          <w:szCs w:val="24"/>
        </w:rPr>
        <w:t xml:space="preserve"> autonomie financière.</w:t>
      </w:r>
    </w:p>
    <w:p w:rsidR="001D5E53" w:rsidRPr="0058792C" w:rsidRDefault="001D5E53" w:rsidP="001D5E53">
      <w:pPr>
        <w:rPr>
          <w:rFonts w:cs="Times New Roman"/>
          <w:szCs w:val="24"/>
        </w:rPr>
      </w:pPr>
      <w:r w:rsidRPr="0058792C">
        <w:rPr>
          <w:rFonts w:cs="Times New Roman"/>
          <w:szCs w:val="24"/>
        </w:rPr>
        <w:t>L’article 03 de la loi 88</w:t>
      </w:r>
      <w:r>
        <w:rPr>
          <w:rFonts w:cs="Times New Roman"/>
          <w:szCs w:val="24"/>
        </w:rPr>
        <w:t>/</w:t>
      </w:r>
      <w:r w:rsidRPr="0058792C">
        <w:rPr>
          <w:rFonts w:cs="Times New Roman"/>
          <w:szCs w:val="24"/>
        </w:rPr>
        <w:t xml:space="preserve">06 stipules « l’instrument de la politique monétaire mise en œuvre par la </w:t>
      </w:r>
      <w:r>
        <w:rPr>
          <w:rFonts w:cs="Times New Roman"/>
          <w:szCs w:val="24"/>
        </w:rPr>
        <w:t>B</w:t>
      </w:r>
      <w:r w:rsidRPr="0058792C">
        <w:rPr>
          <w:rFonts w:cs="Times New Roman"/>
          <w:szCs w:val="24"/>
        </w:rPr>
        <w:t xml:space="preserve">anque </w:t>
      </w:r>
      <w:r>
        <w:rPr>
          <w:rFonts w:cs="Times New Roman"/>
          <w:szCs w:val="24"/>
        </w:rPr>
        <w:t>C</w:t>
      </w:r>
      <w:r w:rsidRPr="0058792C">
        <w:rPr>
          <w:rFonts w:cs="Times New Roman"/>
          <w:szCs w:val="24"/>
        </w:rPr>
        <w:t>entrale d’Algérie comprennent les conditions de banque dont la détermination de plafonds de réescompte ne sont qu’un aspect.</w:t>
      </w:r>
      <w:r w:rsidRPr="0058792C">
        <w:rPr>
          <w:rStyle w:val="Appelnotedebasdep"/>
          <w:rFonts w:cs="Times New Roman"/>
          <w:szCs w:val="24"/>
        </w:rPr>
        <w:footnoteReference w:id="10"/>
      </w:r>
    </w:p>
    <w:p w:rsidR="001D5E53" w:rsidRPr="0058792C" w:rsidRDefault="001D5E53" w:rsidP="001D5E53">
      <w:pPr>
        <w:rPr>
          <w:rFonts w:cs="Times New Roman"/>
          <w:szCs w:val="24"/>
        </w:rPr>
      </w:pPr>
      <w:r w:rsidRPr="0058792C">
        <w:rPr>
          <w:rFonts w:cs="Times New Roman"/>
          <w:szCs w:val="24"/>
        </w:rPr>
        <w:t>L’article 07 de la loi 88</w:t>
      </w:r>
      <w:r>
        <w:rPr>
          <w:rFonts w:cs="Times New Roman"/>
          <w:szCs w:val="24"/>
        </w:rPr>
        <w:t>/</w:t>
      </w:r>
      <w:r w:rsidRPr="0058792C">
        <w:rPr>
          <w:rFonts w:cs="Times New Roman"/>
          <w:szCs w:val="24"/>
        </w:rPr>
        <w:t>06 permet désormais aux établissements de crédit et aux institutions financières de procéder à des emprunts à moyen et long terme sur le marché extérieur comme sur le marché domestique.</w:t>
      </w:r>
    </w:p>
    <w:p w:rsidR="001D5E53" w:rsidRPr="0058792C" w:rsidRDefault="001D5E53" w:rsidP="001D5E53">
      <w:pPr>
        <w:rPr>
          <w:rFonts w:cs="Times New Roman"/>
          <w:szCs w:val="24"/>
        </w:rPr>
      </w:pPr>
      <w:r w:rsidRPr="0058792C">
        <w:rPr>
          <w:rFonts w:cs="Times New Roman"/>
          <w:szCs w:val="24"/>
        </w:rPr>
        <w:t xml:space="preserve">A partir de 1986, l’économie Algérienne a connu plusieurs réformes, la première est axée sur l’autonomie de l’entreprise publique et la création du fond de participation. Mais </w:t>
      </w:r>
      <w:r w:rsidRPr="0058792C">
        <w:rPr>
          <w:rFonts w:cs="Times New Roman"/>
          <w:szCs w:val="24"/>
        </w:rPr>
        <w:lastRenderedPageBreak/>
        <w:t>c’est la loi de 1990 sur la monnaie et le crédit qui constituait le fondement de nouveau système financier et annonçait le début d’un processeur de déréglementation très profond.</w:t>
      </w:r>
    </w:p>
    <w:p w:rsidR="001D5E53" w:rsidRPr="0058792C" w:rsidRDefault="006D5B1A" w:rsidP="001D5E53">
      <w:pPr>
        <w:pStyle w:val="Titre2"/>
      </w:pPr>
      <w:bookmarkStart w:id="25" w:name="_Toc431979984"/>
      <w:r>
        <w:t xml:space="preserve">2.3 </w:t>
      </w:r>
      <w:r w:rsidR="001D5E53" w:rsidRPr="0058792C">
        <w:t xml:space="preserve">  La loi 90</w:t>
      </w:r>
      <w:r w:rsidR="001D5E53">
        <w:t>/</w:t>
      </w:r>
      <w:r w:rsidR="001D5E53" w:rsidRPr="0058792C">
        <w:t>10 relative à la monnaie et au crédit.</w:t>
      </w:r>
      <w:bookmarkEnd w:id="25"/>
    </w:p>
    <w:p w:rsidR="001D5E53" w:rsidRPr="0058792C" w:rsidRDefault="001D5E53" w:rsidP="001D5E53">
      <w:pPr>
        <w:rPr>
          <w:rFonts w:cs="Times New Roman"/>
          <w:szCs w:val="24"/>
        </w:rPr>
      </w:pPr>
      <w:r w:rsidRPr="0058792C">
        <w:rPr>
          <w:rFonts w:cs="Times New Roman"/>
          <w:szCs w:val="24"/>
        </w:rPr>
        <w:t xml:space="preserve">Cette loi a été élaborée sur la base du principe de l’indépendance de la banque centrale par rapport au pouvoir exécutif. Ce principe d’indépendance se manifeste principalement par  la création d’un nouvel organe, qui joue </w:t>
      </w:r>
      <w:r>
        <w:rPr>
          <w:rFonts w:cs="Times New Roman"/>
          <w:szCs w:val="24"/>
        </w:rPr>
        <w:t>à</w:t>
      </w:r>
      <w:r w:rsidRPr="0058792C">
        <w:rPr>
          <w:rFonts w:cs="Times New Roman"/>
          <w:szCs w:val="24"/>
        </w:rPr>
        <w:t xml:space="preserve"> la fois le rôle d’autorité monétaire et le conseil d’administration de la banque centrale.</w:t>
      </w:r>
    </w:p>
    <w:p w:rsidR="001D5E53" w:rsidRPr="0058792C" w:rsidRDefault="001D5E53" w:rsidP="001D5E53">
      <w:pPr>
        <w:rPr>
          <w:rFonts w:cs="Times New Roman"/>
          <w:szCs w:val="24"/>
        </w:rPr>
      </w:pPr>
      <w:r w:rsidRPr="0058792C">
        <w:rPr>
          <w:rFonts w:cs="Times New Roman"/>
          <w:szCs w:val="24"/>
        </w:rPr>
        <w:t>Avant d’analyser les principales dispositions contenues dans cette loi, il convient de relever quelques points de repère qui caractérisent le contexte dans lequel la loi relative à la monnaie et du crédit a été promulguée.</w:t>
      </w:r>
    </w:p>
    <w:p w:rsidR="001D5E53" w:rsidRPr="0058792C" w:rsidRDefault="001D5E53" w:rsidP="00D95740">
      <w:pPr>
        <w:pStyle w:val="Titre3"/>
        <w:numPr>
          <w:ilvl w:val="2"/>
          <w:numId w:val="40"/>
        </w:numPr>
      </w:pPr>
      <w:bookmarkStart w:id="26" w:name="_Toc431979985"/>
      <w:r w:rsidRPr="0058792C">
        <w:t>Contexte de promulgation de la loi relative à la monnaie et au crédit.</w:t>
      </w:r>
      <w:bookmarkEnd w:id="26"/>
    </w:p>
    <w:p w:rsidR="001D5E53" w:rsidRPr="0058792C" w:rsidRDefault="001D5E53" w:rsidP="001D5E53">
      <w:pPr>
        <w:rPr>
          <w:rFonts w:cs="Times New Roman"/>
          <w:szCs w:val="24"/>
        </w:rPr>
      </w:pPr>
      <w:r w:rsidRPr="0058792C">
        <w:rPr>
          <w:rFonts w:cs="Times New Roman"/>
          <w:szCs w:val="24"/>
        </w:rPr>
        <w:t>La loi relative à la monnaie et au crédit a été promulguée durant la période de la mise en œuvre de la réforme, axée sur l’autonomie de l’entreprise publique, dans un contexte politique et économique particulier.</w:t>
      </w:r>
    </w:p>
    <w:p w:rsidR="001D5E53" w:rsidRPr="0058792C" w:rsidRDefault="001D5E53" w:rsidP="001D5E53">
      <w:pPr>
        <w:rPr>
          <w:rFonts w:cs="Times New Roman"/>
          <w:szCs w:val="24"/>
        </w:rPr>
      </w:pPr>
      <w:r w:rsidRPr="0058792C">
        <w:rPr>
          <w:rFonts w:cs="Times New Roman"/>
          <w:szCs w:val="24"/>
        </w:rPr>
        <w:t>Au plan politique, dès sa promulgation, cette loi a fait l’objet d’une grande controverse. A cet égard deux faits sont à signaler.</w:t>
      </w:r>
      <w:r w:rsidRPr="0058792C">
        <w:rPr>
          <w:rStyle w:val="Appelnotedebasdep"/>
          <w:rFonts w:cs="Times New Roman"/>
          <w:szCs w:val="24"/>
        </w:rPr>
        <w:footnoteReference w:id="11"/>
      </w:r>
    </w:p>
    <w:p w:rsidR="001D5E53" w:rsidRPr="0058792C" w:rsidRDefault="001D5E53" w:rsidP="009C708D">
      <w:pPr>
        <w:pStyle w:val="Paragraphedeliste"/>
        <w:numPr>
          <w:ilvl w:val="0"/>
          <w:numId w:val="3"/>
        </w:numPr>
        <w:rPr>
          <w:rFonts w:cs="Times New Roman"/>
          <w:szCs w:val="24"/>
        </w:rPr>
      </w:pPr>
      <w:r w:rsidRPr="0058792C">
        <w:rPr>
          <w:rFonts w:cs="Times New Roman"/>
          <w:szCs w:val="24"/>
        </w:rPr>
        <w:t>Les conditions d’adoption de la loi.</w:t>
      </w:r>
    </w:p>
    <w:p w:rsidR="001D5E53" w:rsidRPr="0058792C" w:rsidRDefault="001D5E53" w:rsidP="009C708D">
      <w:pPr>
        <w:pStyle w:val="Paragraphedeliste"/>
        <w:numPr>
          <w:ilvl w:val="0"/>
          <w:numId w:val="3"/>
        </w:numPr>
        <w:rPr>
          <w:rFonts w:cs="Times New Roman"/>
          <w:szCs w:val="24"/>
        </w:rPr>
      </w:pPr>
      <w:r w:rsidRPr="0058792C">
        <w:rPr>
          <w:rFonts w:cs="Times New Roman"/>
          <w:szCs w:val="24"/>
        </w:rPr>
        <w:t>La mise en place d’un contre-pouvoir.</w:t>
      </w:r>
    </w:p>
    <w:p w:rsidR="001D5E53" w:rsidRPr="0058792C" w:rsidRDefault="001D5E53" w:rsidP="00D95740">
      <w:pPr>
        <w:pStyle w:val="Titre3"/>
        <w:numPr>
          <w:ilvl w:val="2"/>
          <w:numId w:val="40"/>
        </w:numPr>
      </w:pPr>
      <w:bookmarkStart w:id="27" w:name="_Toc431979986"/>
      <w:r w:rsidRPr="0058792C">
        <w:t>Les conditions d’adoption de la loi</w:t>
      </w:r>
      <w:bookmarkEnd w:id="27"/>
    </w:p>
    <w:p w:rsidR="001D5E53" w:rsidRPr="0058792C" w:rsidRDefault="001D5E53" w:rsidP="001D5E53">
      <w:pPr>
        <w:rPr>
          <w:rFonts w:cs="Times New Roman"/>
          <w:szCs w:val="24"/>
        </w:rPr>
      </w:pPr>
      <w:r w:rsidRPr="0058792C">
        <w:rPr>
          <w:rFonts w:cs="Times New Roman"/>
          <w:szCs w:val="24"/>
        </w:rPr>
        <w:t xml:space="preserve"> Lors de l’examen de l</w:t>
      </w:r>
      <w:r>
        <w:rPr>
          <w:rFonts w:cs="Times New Roman"/>
          <w:szCs w:val="24"/>
        </w:rPr>
        <w:t>a loi</w:t>
      </w:r>
      <w:r w:rsidRPr="0058792C">
        <w:rPr>
          <w:rFonts w:cs="Times New Roman"/>
          <w:szCs w:val="24"/>
        </w:rPr>
        <w:t xml:space="preserve"> relative à la monnaie et </w:t>
      </w:r>
      <w:r>
        <w:rPr>
          <w:rFonts w:cs="Times New Roman"/>
          <w:szCs w:val="24"/>
        </w:rPr>
        <w:t xml:space="preserve">eu crédit </w:t>
      </w:r>
      <w:r w:rsidRPr="0058792C">
        <w:rPr>
          <w:rFonts w:cs="Times New Roman"/>
          <w:szCs w:val="24"/>
        </w:rPr>
        <w:t xml:space="preserve">par le parlement, le gouvernement </w:t>
      </w:r>
      <w:r>
        <w:rPr>
          <w:rFonts w:cs="Times New Roman"/>
          <w:szCs w:val="24"/>
        </w:rPr>
        <w:t xml:space="preserve">a </w:t>
      </w:r>
      <w:r w:rsidRPr="0058792C">
        <w:rPr>
          <w:rFonts w:cs="Times New Roman"/>
          <w:szCs w:val="24"/>
        </w:rPr>
        <w:t>présent</w:t>
      </w:r>
      <w:r>
        <w:rPr>
          <w:rFonts w:cs="Times New Roman"/>
          <w:szCs w:val="24"/>
        </w:rPr>
        <w:t>é</w:t>
      </w:r>
      <w:r w:rsidRPr="0058792C">
        <w:rPr>
          <w:rFonts w:cs="Times New Roman"/>
          <w:szCs w:val="24"/>
        </w:rPr>
        <w:t xml:space="preserve"> ce projet de texte comme une condition </w:t>
      </w:r>
      <w:r w:rsidRPr="003642C2">
        <w:rPr>
          <w:rFonts w:cs="Times New Roman"/>
          <w:i/>
          <w:szCs w:val="24"/>
        </w:rPr>
        <w:t>sine-qua-non</w:t>
      </w:r>
      <w:r w:rsidRPr="0058792C">
        <w:rPr>
          <w:rFonts w:cs="Times New Roman"/>
          <w:szCs w:val="24"/>
        </w:rPr>
        <w:t xml:space="preserve"> à la mise en œuvre des réformes économiques.</w:t>
      </w:r>
    </w:p>
    <w:p w:rsidR="001D5E53" w:rsidRPr="0058792C" w:rsidRDefault="001D5E53" w:rsidP="001D5E53">
      <w:pPr>
        <w:rPr>
          <w:rFonts w:cs="Times New Roman"/>
          <w:szCs w:val="24"/>
        </w:rPr>
      </w:pPr>
      <w:r w:rsidRPr="0058792C">
        <w:rPr>
          <w:rFonts w:cs="Times New Roman"/>
          <w:szCs w:val="24"/>
        </w:rPr>
        <w:t xml:space="preserve">Pour éviter que ce projet de texte ne soit à l’origine d’une crise entre le pouvoir exécutif et le pouvoir législatif, le parlement a décidé d’adopter le projet de </w:t>
      </w:r>
      <w:r>
        <w:rPr>
          <w:rFonts w:cs="Times New Roman"/>
          <w:szCs w:val="24"/>
        </w:rPr>
        <w:t>l</w:t>
      </w:r>
      <w:r w:rsidRPr="0058792C">
        <w:rPr>
          <w:rFonts w:cs="Times New Roman"/>
          <w:szCs w:val="24"/>
        </w:rPr>
        <w:t>oi relative à la monnaie et au crédit sans débat.</w:t>
      </w:r>
    </w:p>
    <w:p w:rsidR="001D5E53" w:rsidRPr="0058792C" w:rsidRDefault="001D5E53" w:rsidP="001D5E53">
      <w:pPr>
        <w:rPr>
          <w:rFonts w:cs="Times New Roman"/>
          <w:szCs w:val="24"/>
        </w:rPr>
      </w:pPr>
      <w:r w:rsidRPr="0058792C">
        <w:rPr>
          <w:rFonts w:cs="Times New Roman"/>
          <w:szCs w:val="24"/>
        </w:rPr>
        <w:t>En retenant cette démarche, le pouvoir législatif a voulu manifester sa désapprobation et faire endosser au gouvernement l’entière responsabilité de l’application de ce texte.</w:t>
      </w:r>
      <w:r w:rsidRPr="0058792C">
        <w:rPr>
          <w:rStyle w:val="Appelnotedebasdep"/>
          <w:rFonts w:cs="Times New Roman"/>
          <w:szCs w:val="24"/>
        </w:rPr>
        <w:footnoteReference w:id="12"/>
      </w:r>
    </w:p>
    <w:p w:rsidR="001D5E53" w:rsidRPr="0058792C" w:rsidRDefault="001D5E53" w:rsidP="00D95740">
      <w:pPr>
        <w:pStyle w:val="Titre3"/>
        <w:numPr>
          <w:ilvl w:val="2"/>
          <w:numId w:val="40"/>
        </w:numPr>
      </w:pPr>
      <w:bookmarkStart w:id="28" w:name="_Toc431979987"/>
      <w:r w:rsidRPr="0058792C">
        <w:lastRenderedPageBreak/>
        <w:t>La mise en place d’un contre-pouvoir</w:t>
      </w:r>
      <w:bookmarkEnd w:id="28"/>
    </w:p>
    <w:p w:rsidR="001D5E53" w:rsidRPr="0058792C" w:rsidRDefault="001D5E53" w:rsidP="001D5E53">
      <w:pPr>
        <w:rPr>
          <w:rFonts w:cs="Times New Roman"/>
          <w:szCs w:val="24"/>
        </w:rPr>
      </w:pPr>
      <w:r>
        <w:rPr>
          <w:rFonts w:cs="Times New Roman"/>
          <w:szCs w:val="24"/>
        </w:rPr>
        <w:t>P</w:t>
      </w:r>
      <w:r w:rsidRPr="0058792C">
        <w:rPr>
          <w:rFonts w:cs="Times New Roman"/>
          <w:szCs w:val="24"/>
        </w:rPr>
        <w:t>lusieurs analyses politiques estiment qu’en 1980, un accord tacite aurait été conclu avec les instances sur un éventuel partage de pouvoir. Dans la perspective de l’instauration d’un pouvoir bicéphale au niveau de l’exécutif, la présidence de la république voulait, toute</w:t>
      </w:r>
      <w:r>
        <w:rPr>
          <w:rFonts w:cs="Times New Roman"/>
          <w:szCs w:val="24"/>
        </w:rPr>
        <w:t>s-</w:t>
      </w:r>
      <w:r w:rsidRPr="0058792C">
        <w:rPr>
          <w:rFonts w:cs="Times New Roman"/>
          <w:szCs w:val="24"/>
        </w:rPr>
        <w:t xml:space="preserve">fois garder la haute main sur les finances publiques et les réserves de changes en l’occurrence, sur la </w:t>
      </w:r>
      <w:r>
        <w:rPr>
          <w:rFonts w:cs="Times New Roman"/>
          <w:szCs w:val="24"/>
        </w:rPr>
        <w:t>B</w:t>
      </w:r>
      <w:r w:rsidRPr="0058792C">
        <w:rPr>
          <w:rFonts w:cs="Times New Roman"/>
          <w:szCs w:val="24"/>
        </w:rPr>
        <w:t xml:space="preserve">anque </w:t>
      </w:r>
      <w:r>
        <w:rPr>
          <w:rFonts w:cs="Times New Roman"/>
          <w:szCs w:val="24"/>
        </w:rPr>
        <w:t>C</w:t>
      </w:r>
      <w:r w:rsidRPr="0058792C">
        <w:rPr>
          <w:rFonts w:cs="Times New Roman"/>
          <w:szCs w:val="24"/>
        </w:rPr>
        <w:t xml:space="preserve">entrale et </w:t>
      </w:r>
      <w:r>
        <w:rPr>
          <w:rFonts w:cs="Times New Roman"/>
          <w:szCs w:val="24"/>
        </w:rPr>
        <w:t>le M</w:t>
      </w:r>
      <w:r w:rsidRPr="0058792C">
        <w:rPr>
          <w:rFonts w:cs="Times New Roman"/>
          <w:szCs w:val="24"/>
        </w:rPr>
        <w:t xml:space="preserve">inistère des </w:t>
      </w:r>
      <w:r>
        <w:rPr>
          <w:rFonts w:cs="Times New Roman"/>
          <w:szCs w:val="24"/>
        </w:rPr>
        <w:t>F</w:t>
      </w:r>
      <w:r w:rsidRPr="0058792C">
        <w:rPr>
          <w:rFonts w:cs="Times New Roman"/>
          <w:szCs w:val="24"/>
        </w:rPr>
        <w:t>inances.</w:t>
      </w:r>
    </w:p>
    <w:p w:rsidR="001D5E53" w:rsidRPr="0058792C" w:rsidRDefault="001D5E53" w:rsidP="001D5E53">
      <w:pPr>
        <w:rPr>
          <w:rFonts w:cs="Times New Roman"/>
          <w:szCs w:val="24"/>
        </w:rPr>
      </w:pPr>
      <w:r w:rsidRPr="0058792C">
        <w:rPr>
          <w:rFonts w:cs="Times New Roman"/>
          <w:szCs w:val="24"/>
        </w:rPr>
        <w:t>Cette approche d</w:t>
      </w:r>
      <w:r>
        <w:rPr>
          <w:rFonts w:cs="Times New Roman"/>
          <w:szCs w:val="24"/>
        </w:rPr>
        <w:t>e</w:t>
      </w:r>
      <w:r w:rsidRPr="0058792C">
        <w:rPr>
          <w:rFonts w:cs="Times New Roman"/>
          <w:szCs w:val="24"/>
        </w:rPr>
        <w:t xml:space="preserve"> partage du pouvoir expliquerait que les principaux postes du </w:t>
      </w:r>
      <w:r>
        <w:rPr>
          <w:rFonts w:cs="Times New Roman"/>
          <w:szCs w:val="24"/>
        </w:rPr>
        <w:t>M</w:t>
      </w:r>
      <w:r w:rsidRPr="0058792C">
        <w:rPr>
          <w:rFonts w:cs="Times New Roman"/>
          <w:szCs w:val="24"/>
        </w:rPr>
        <w:t xml:space="preserve">inistère des </w:t>
      </w:r>
      <w:r>
        <w:rPr>
          <w:rFonts w:cs="Times New Roman"/>
          <w:szCs w:val="24"/>
        </w:rPr>
        <w:t>F</w:t>
      </w:r>
      <w:r w:rsidRPr="0058792C">
        <w:rPr>
          <w:rFonts w:cs="Times New Roman"/>
          <w:szCs w:val="24"/>
        </w:rPr>
        <w:t>inances</w:t>
      </w:r>
      <w:r w:rsidR="006D5B1A">
        <w:rPr>
          <w:rFonts w:cs="Times New Roman"/>
          <w:szCs w:val="24"/>
        </w:rPr>
        <w:t xml:space="preserve"> </w:t>
      </w:r>
      <w:r w:rsidRPr="0058792C">
        <w:rPr>
          <w:rFonts w:cs="Times New Roman"/>
          <w:szCs w:val="24"/>
        </w:rPr>
        <w:t xml:space="preserve">(1980) à savoir, les </w:t>
      </w:r>
      <w:r>
        <w:rPr>
          <w:rFonts w:cs="Times New Roman"/>
          <w:szCs w:val="24"/>
        </w:rPr>
        <w:t>D</w:t>
      </w:r>
      <w:r w:rsidRPr="0058792C">
        <w:rPr>
          <w:rFonts w:cs="Times New Roman"/>
          <w:szCs w:val="24"/>
        </w:rPr>
        <w:t xml:space="preserve">irecteurs </w:t>
      </w:r>
      <w:r>
        <w:rPr>
          <w:rFonts w:cs="Times New Roman"/>
          <w:szCs w:val="24"/>
        </w:rPr>
        <w:t>G</w:t>
      </w:r>
      <w:r w:rsidRPr="0058792C">
        <w:rPr>
          <w:rFonts w:cs="Times New Roman"/>
          <w:szCs w:val="24"/>
        </w:rPr>
        <w:t xml:space="preserve">énéraux des douanes, d’impôts, du budget et du trésor soient nommés par le chef de l’Etat, alors que toutes nominations des autres administrations centrales relevaient du pouvoir du </w:t>
      </w:r>
      <w:r>
        <w:rPr>
          <w:rFonts w:cs="Times New Roman"/>
          <w:szCs w:val="24"/>
        </w:rPr>
        <w:t>C</w:t>
      </w:r>
      <w:r w:rsidRPr="0058792C">
        <w:rPr>
          <w:rFonts w:cs="Times New Roman"/>
          <w:szCs w:val="24"/>
        </w:rPr>
        <w:t xml:space="preserve">hef du </w:t>
      </w:r>
      <w:r>
        <w:rPr>
          <w:rFonts w:cs="Times New Roman"/>
          <w:szCs w:val="24"/>
        </w:rPr>
        <w:t>G</w:t>
      </w:r>
      <w:r w:rsidRPr="0058792C">
        <w:rPr>
          <w:rFonts w:cs="Times New Roman"/>
          <w:szCs w:val="24"/>
        </w:rPr>
        <w:t>ouvernement. La présidence  de la république voulait avoir ainsi une prise directe sur les ressources financières de l’Etat et contrôler le budget et les avoirs extérieurs du pays.</w:t>
      </w:r>
    </w:p>
    <w:p w:rsidR="001D5E53" w:rsidRPr="0058792C" w:rsidRDefault="001D5E53" w:rsidP="00D95740">
      <w:pPr>
        <w:pStyle w:val="Titre3"/>
        <w:numPr>
          <w:ilvl w:val="2"/>
          <w:numId w:val="40"/>
        </w:numPr>
      </w:pPr>
      <w:bookmarkStart w:id="29" w:name="_Toc431979988"/>
      <w:r w:rsidRPr="0058792C">
        <w:t>Le conseil de la monnaie et du crédit</w:t>
      </w:r>
      <w:bookmarkEnd w:id="29"/>
    </w:p>
    <w:p w:rsidR="001D5E53" w:rsidRPr="0058792C" w:rsidRDefault="001D5E53" w:rsidP="001D5E53">
      <w:pPr>
        <w:rPr>
          <w:rFonts w:cs="Times New Roman"/>
          <w:szCs w:val="24"/>
        </w:rPr>
      </w:pPr>
      <w:r w:rsidRPr="0058792C">
        <w:rPr>
          <w:rFonts w:cs="Times New Roman"/>
          <w:szCs w:val="24"/>
        </w:rPr>
        <w:t xml:space="preserve">La loi relative à la monnaie et au crédit instaure un conseil de la monnaie et du crédit dont la composition et les prérogatives sont différentes de celles du conseil d’administration de la </w:t>
      </w:r>
      <w:r>
        <w:rPr>
          <w:rFonts w:cs="Times New Roman"/>
          <w:szCs w:val="24"/>
        </w:rPr>
        <w:t>B</w:t>
      </w:r>
      <w:r w:rsidRPr="0058792C">
        <w:rPr>
          <w:rFonts w:cs="Times New Roman"/>
          <w:szCs w:val="24"/>
        </w:rPr>
        <w:t xml:space="preserve">anque </w:t>
      </w:r>
      <w:r>
        <w:rPr>
          <w:rFonts w:cs="Times New Roman"/>
          <w:szCs w:val="24"/>
        </w:rPr>
        <w:t>C</w:t>
      </w:r>
      <w:r w:rsidRPr="0058792C">
        <w:rPr>
          <w:rFonts w:cs="Times New Roman"/>
          <w:szCs w:val="24"/>
        </w:rPr>
        <w:t xml:space="preserve">entrale d’Algérie. Ce conseil agit, à la fois, en tant que conseil d’administration de la </w:t>
      </w:r>
      <w:r>
        <w:rPr>
          <w:rFonts w:cs="Times New Roman"/>
          <w:szCs w:val="24"/>
        </w:rPr>
        <w:t>B</w:t>
      </w:r>
      <w:r w:rsidRPr="0058792C">
        <w:rPr>
          <w:rFonts w:cs="Times New Roman"/>
          <w:szCs w:val="24"/>
        </w:rPr>
        <w:t xml:space="preserve">anque </w:t>
      </w:r>
      <w:r>
        <w:rPr>
          <w:rFonts w:cs="Times New Roman"/>
          <w:szCs w:val="24"/>
        </w:rPr>
        <w:t>C</w:t>
      </w:r>
      <w:r w:rsidRPr="0058792C">
        <w:rPr>
          <w:rFonts w:cs="Times New Roman"/>
          <w:szCs w:val="24"/>
        </w:rPr>
        <w:t>entrale et en tant qu’autorité monétaire. Il est composé :</w:t>
      </w:r>
    </w:p>
    <w:p w:rsidR="001D5E53" w:rsidRPr="0058792C" w:rsidRDefault="001D5E53" w:rsidP="009C708D">
      <w:pPr>
        <w:pStyle w:val="Paragraphedeliste"/>
        <w:numPr>
          <w:ilvl w:val="0"/>
          <w:numId w:val="4"/>
        </w:numPr>
        <w:rPr>
          <w:rFonts w:cs="Times New Roman"/>
          <w:szCs w:val="24"/>
        </w:rPr>
      </w:pPr>
      <w:r>
        <w:rPr>
          <w:rFonts w:cs="Times New Roman"/>
          <w:szCs w:val="24"/>
        </w:rPr>
        <w:t>d</w:t>
      </w:r>
      <w:r w:rsidRPr="0058792C">
        <w:rPr>
          <w:rFonts w:cs="Times New Roman"/>
          <w:szCs w:val="24"/>
        </w:rPr>
        <w:t xml:space="preserve">u gouverneur de la banque centrale, nommé par le présidant de la république pour une durée de </w:t>
      </w:r>
      <w:r w:rsidR="006D5B1A">
        <w:rPr>
          <w:rFonts w:cs="Times New Roman"/>
          <w:szCs w:val="24"/>
        </w:rPr>
        <w:t>six ans (renouvelable une fois) ;</w:t>
      </w:r>
    </w:p>
    <w:p w:rsidR="001D5E53" w:rsidRPr="0058792C" w:rsidRDefault="001D5E53" w:rsidP="009C708D">
      <w:pPr>
        <w:pStyle w:val="Paragraphedeliste"/>
        <w:numPr>
          <w:ilvl w:val="0"/>
          <w:numId w:val="4"/>
        </w:numPr>
        <w:rPr>
          <w:rFonts w:cs="Times New Roman"/>
          <w:szCs w:val="24"/>
        </w:rPr>
      </w:pPr>
      <w:r>
        <w:rPr>
          <w:rFonts w:cs="Times New Roman"/>
          <w:szCs w:val="24"/>
        </w:rPr>
        <w:t>d</w:t>
      </w:r>
      <w:r w:rsidRPr="0058792C">
        <w:rPr>
          <w:rFonts w:cs="Times New Roman"/>
          <w:szCs w:val="24"/>
        </w:rPr>
        <w:t>e trois vice-gouverneurs, nommés également par le décret présidentiel pour une durée inférieur (cinq ans au lieu de</w:t>
      </w:r>
      <w:r w:rsidR="006D5B1A">
        <w:rPr>
          <w:rFonts w:cs="Times New Roman"/>
          <w:szCs w:val="24"/>
        </w:rPr>
        <w:t xml:space="preserve"> six ans) renouvelable une fois ;</w:t>
      </w:r>
    </w:p>
    <w:p w:rsidR="001D5E53" w:rsidRPr="0058792C" w:rsidRDefault="001D5E53" w:rsidP="009C708D">
      <w:pPr>
        <w:pStyle w:val="Paragraphedeliste"/>
        <w:numPr>
          <w:ilvl w:val="0"/>
          <w:numId w:val="4"/>
        </w:numPr>
        <w:rPr>
          <w:rFonts w:cs="Times New Roman"/>
          <w:szCs w:val="24"/>
        </w:rPr>
      </w:pPr>
      <w:r>
        <w:rPr>
          <w:rFonts w:cs="Times New Roman"/>
          <w:szCs w:val="24"/>
        </w:rPr>
        <w:t>d</w:t>
      </w:r>
      <w:r w:rsidRPr="0058792C">
        <w:rPr>
          <w:rFonts w:cs="Times New Roman"/>
          <w:szCs w:val="24"/>
        </w:rPr>
        <w:t>e trois hauts fonctionnaires, nommés par le décret du chef du gouvernement, sans durée du montant.</w:t>
      </w:r>
    </w:p>
    <w:p w:rsidR="001D5E53" w:rsidRPr="0058792C" w:rsidRDefault="001D5E53" w:rsidP="001D5E53">
      <w:pPr>
        <w:rPr>
          <w:rFonts w:cs="Times New Roman"/>
          <w:szCs w:val="24"/>
        </w:rPr>
      </w:pPr>
      <w:r w:rsidRPr="0058792C">
        <w:rPr>
          <w:rFonts w:cs="Times New Roman"/>
          <w:szCs w:val="24"/>
        </w:rPr>
        <w:t>Le conseil sur la monnaie et du crédit dispose d’un pouvoir réglementaire. Les règlements qu’il publie et les décisions qu’il prend sont publiés au journal officiel et sont opposables au</w:t>
      </w:r>
      <w:r>
        <w:rPr>
          <w:rFonts w:cs="Times New Roman"/>
          <w:szCs w:val="24"/>
        </w:rPr>
        <w:t>x</w:t>
      </w:r>
      <w:r w:rsidRPr="0058792C">
        <w:rPr>
          <w:rFonts w:cs="Times New Roman"/>
          <w:szCs w:val="24"/>
        </w:rPr>
        <w:t xml:space="preserve"> tiers. Il est chargé de gérer activement la phase transitoire vers la libéralisation du régime du change.</w:t>
      </w:r>
    </w:p>
    <w:p w:rsidR="001D5E53" w:rsidRPr="0058792C" w:rsidRDefault="001D5E53" w:rsidP="006D5B1A">
      <w:pPr>
        <w:rPr>
          <w:rFonts w:cs="Times New Roman"/>
          <w:szCs w:val="24"/>
        </w:rPr>
      </w:pPr>
      <w:r w:rsidRPr="0058792C">
        <w:rPr>
          <w:rFonts w:cs="Times New Roman"/>
          <w:szCs w:val="24"/>
        </w:rPr>
        <w:t>A cet égard, des procédures souples responsabilisant d’avantage les banques et les entreprises dans la gestion du commerce, sont progressivement édicté</w:t>
      </w:r>
      <w:r>
        <w:rPr>
          <w:rFonts w:cs="Times New Roman"/>
          <w:szCs w:val="24"/>
        </w:rPr>
        <w:t>e</w:t>
      </w:r>
      <w:r w:rsidRPr="0058792C">
        <w:rPr>
          <w:rFonts w:cs="Times New Roman"/>
          <w:szCs w:val="24"/>
        </w:rPr>
        <w:t xml:space="preserve">s et mises en œuvres. Il </w:t>
      </w:r>
      <w:r w:rsidRPr="0058792C">
        <w:rPr>
          <w:rFonts w:cs="Times New Roman"/>
          <w:szCs w:val="24"/>
        </w:rPr>
        <w:lastRenderedPageBreak/>
        <w:t xml:space="preserve">joue un rôle de premier plan pour l’ensemble des activités de la </w:t>
      </w:r>
      <w:r>
        <w:rPr>
          <w:rFonts w:cs="Times New Roman"/>
          <w:szCs w:val="24"/>
        </w:rPr>
        <w:t>B</w:t>
      </w:r>
      <w:r w:rsidRPr="0058792C">
        <w:rPr>
          <w:rFonts w:cs="Times New Roman"/>
          <w:szCs w:val="24"/>
        </w:rPr>
        <w:t>anque d’Algérie</w:t>
      </w:r>
      <w:r w:rsidR="006D5B1A">
        <w:rPr>
          <w:rStyle w:val="Appelnotedebasdep"/>
          <w:rFonts w:cs="Times New Roman"/>
          <w:szCs w:val="24"/>
        </w:rPr>
        <w:footnoteReference w:id="13"/>
      </w:r>
      <w:r w:rsidRPr="0058792C">
        <w:rPr>
          <w:rFonts w:cs="Times New Roman"/>
          <w:szCs w:val="24"/>
        </w:rPr>
        <w:t xml:space="preserve"> avec les tiers.</w:t>
      </w:r>
    </w:p>
    <w:p w:rsidR="001D5E53" w:rsidRPr="0058792C" w:rsidRDefault="001D5E53" w:rsidP="00D95740">
      <w:pPr>
        <w:pStyle w:val="Titre3"/>
        <w:numPr>
          <w:ilvl w:val="2"/>
          <w:numId w:val="40"/>
        </w:numPr>
      </w:pPr>
      <w:bookmarkStart w:id="30" w:name="_Toc431979989"/>
      <w:r w:rsidRPr="0058792C">
        <w:t>L’ouverture de l’espace bancaire Algérien</w:t>
      </w:r>
      <w:bookmarkEnd w:id="30"/>
    </w:p>
    <w:p w:rsidR="001D5E53" w:rsidRPr="0058792C" w:rsidRDefault="001D5E53" w:rsidP="001D5E53">
      <w:pPr>
        <w:rPr>
          <w:rFonts w:cs="Times New Roman"/>
          <w:szCs w:val="24"/>
        </w:rPr>
      </w:pPr>
      <w:r w:rsidRPr="0058792C">
        <w:rPr>
          <w:rFonts w:cs="Times New Roman"/>
          <w:szCs w:val="24"/>
        </w:rPr>
        <w:t xml:space="preserve">La loi sur la monnaie et </w:t>
      </w:r>
      <w:r>
        <w:rPr>
          <w:rFonts w:cs="Times New Roman"/>
          <w:szCs w:val="24"/>
        </w:rPr>
        <w:t>le</w:t>
      </w:r>
      <w:r w:rsidRPr="0058792C">
        <w:rPr>
          <w:rFonts w:cs="Times New Roman"/>
          <w:szCs w:val="24"/>
        </w:rPr>
        <w:t xml:space="preserve"> crédit a ouvert l’espace algérien aux banques et </w:t>
      </w:r>
      <w:r>
        <w:rPr>
          <w:rFonts w:cs="Times New Roman"/>
          <w:szCs w:val="24"/>
        </w:rPr>
        <w:t>aux</w:t>
      </w:r>
      <w:r w:rsidRPr="0058792C">
        <w:rPr>
          <w:rFonts w:cs="Times New Roman"/>
          <w:szCs w:val="24"/>
        </w:rPr>
        <w:t xml:space="preserve"> établissements financiers nationa</w:t>
      </w:r>
      <w:r>
        <w:rPr>
          <w:rFonts w:cs="Times New Roman"/>
          <w:szCs w:val="24"/>
        </w:rPr>
        <w:t>ux</w:t>
      </w:r>
      <w:r w:rsidRPr="0058792C">
        <w:rPr>
          <w:rFonts w:cs="Times New Roman"/>
          <w:szCs w:val="24"/>
        </w:rPr>
        <w:t xml:space="preserve"> ou étrang</w:t>
      </w:r>
      <w:r>
        <w:rPr>
          <w:rFonts w:cs="Times New Roman"/>
          <w:szCs w:val="24"/>
        </w:rPr>
        <w:t>e</w:t>
      </w:r>
      <w:r w:rsidRPr="0058792C">
        <w:rPr>
          <w:rFonts w:cs="Times New Roman"/>
          <w:szCs w:val="24"/>
        </w:rPr>
        <w:t>rs.</w:t>
      </w:r>
    </w:p>
    <w:p w:rsidR="001D5E53" w:rsidRPr="0058792C" w:rsidRDefault="001D5E53" w:rsidP="001D5E53">
      <w:pPr>
        <w:rPr>
          <w:rFonts w:cs="Times New Roman"/>
          <w:szCs w:val="24"/>
        </w:rPr>
      </w:pPr>
      <w:r w:rsidRPr="0058792C">
        <w:rPr>
          <w:rFonts w:cs="Times New Roman"/>
          <w:szCs w:val="24"/>
        </w:rPr>
        <w:t>Le paysage bancaire algérien compte aujourd’hui trente et une institution bancaire</w:t>
      </w:r>
      <w:r>
        <w:rPr>
          <w:rFonts w:cs="Times New Roman"/>
          <w:szCs w:val="24"/>
        </w:rPr>
        <w:t>s</w:t>
      </w:r>
      <w:r w:rsidRPr="0058792C">
        <w:rPr>
          <w:rFonts w:cs="Times New Roman"/>
          <w:szCs w:val="24"/>
        </w:rPr>
        <w:t xml:space="preserve"> et financière</w:t>
      </w:r>
      <w:r>
        <w:rPr>
          <w:rFonts w:cs="Times New Roman"/>
          <w:szCs w:val="24"/>
        </w:rPr>
        <w:t>s</w:t>
      </w:r>
      <w:r w:rsidRPr="0058792C">
        <w:rPr>
          <w:rFonts w:cs="Times New Roman"/>
          <w:szCs w:val="24"/>
        </w:rPr>
        <w:t xml:space="preserve"> fonctionnelle ou en phase de démarrage.</w:t>
      </w:r>
      <w:r w:rsidR="002167BE">
        <w:rPr>
          <w:rFonts w:cs="Times New Roman"/>
          <w:szCs w:val="24"/>
        </w:rPr>
        <w:t xml:space="preserve"> </w:t>
      </w:r>
      <w:r w:rsidRPr="0058792C">
        <w:rPr>
          <w:rFonts w:cs="Times New Roman"/>
          <w:szCs w:val="24"/>
        </w:rPr>
        <w:t>Ces institutions peuvent être classées en trois catégories :</w:t>
      </w:r>
    </w:p>
    <w:p w:rsidR="001D5E53" w:rsidRPr="003642C2" w:rsidRDefault="001D5E53" w:rsidP="00DC200D">
      <w:pPr>
        <w:pStyle w:val="Paragraphedeliste"/>
        <w:numPr>
          <w:ilvl w:val="0"/>
          <w:numId w:val="5"/>
        </w:numPr>
        <w:rPr>
          <w:rFonts w:cs="Times New Roman"/>
          <w:szCs w:val="24"/>
        </w:rPr>
      </w:pPr>
      <w:r w:rsidRPr="0058792C">
        <w:rPr>
          <w:rFonts w:cs="Times New Roman"/>
          <w:szCs w:val="24"/>
        </w:rPr>
        <w:t>Les grandes banques publiques</w:t>
      </w:r>
      <w:r>
        <w:rPr>
          <w:rFonts w:cs="Times New Roman"/>
          <w:szCs w:val="24"/>
        </w:rPr>
        <w:t xml:space="preserve"> : </w:t>
      </w:r>
      <w:r w:rsidRPr="00475E5A">
        <w:rPr>
          <w:rFonts w:cs="Times New Roman"/>
          <w:szCs w:val="24"/>
        </w:rPr>
        <w:t xml:space="preserve">au nombre de </w:t>
      </w:r>
      <w:r w:rsidR="006D5B1A">
        <w:rPr>
          <w:rFonts w:cs="Times New Roman"/>
          <w:szCs w:val="24"/>
        </w:rPr>
        <w:t>six</w:t>
      </w:r>
      <w:r w:rsidRPr="00475E5A">
        <w:rPr>
          <w:rFonts w:cs="Times New Roman"/>
          <w:szCs w:val="24"/>
        </w:rPr>
        <w:t>,</w:t>
      </w:r>
      <w:r>
        <w:rPr>
          <w:rFonts w:cs="Times New Roman"/>
          <w:szCs w:val="24"/>
        </w:rPr>
        <w:t xml:space="preserve"> e</w:t>
      </w:r>
      <w:r w:rsidRPr="003642C2">
        <w:rPr>
          <w:rFonts w:cs="Times New Roman"/>
          <w:szCs w:val="24"/>
        </w:rPr>
        <w:t xml:space="preserve">lles couvrent un réseau de plus de </w:t>
      </w:r>
      <w:r w:rsidR="00DC200D">
        <w:rPr>
          <w:rFonts w:cs="Times New Roman"/>
          <w:szCs w:val="24"/>
        </w:rPr>
        <w:t>1000</w:t>
      </w:r>
      <w:r w:rsidRPr="003642C2">
        <w:rPr>
          <w:rFonts w:cs="Times New Roman"/>
          <w:szCs w:val="24"/>
        </w:rPr>
        <w:t xml:space="preserve"> agences</w:t>
      </w:r>
      <w:r w:rsidR="00DC200D">
        <w:rPr>
          <w:rStyle w:val="Appelnotedebasdep"/>
          <w:rFonts w:cs="Times New Roman"/>
          <w:szCs w:val="24"/>
        </w:rPr>
        <w:footnoteReference w:id="14"/>
      </w:r>
      <w:r>
        <w:rPr>
          <w:rFonts w:cs="Times New Roman"/>
          <w:szCs w:val="24"/>
        </w:rPr>
        <w:t xml:space="preserve">. </w:t>
      </w:r>
    </w:p>
    <w:p w:rsidR="001D5E53" w:rsidRPr="0058792C" w:rsidRDefault="001D5E53" w:rsidP="00E25974">
      <w:pPr>
        <w:rPr>
          <w:rFonts w:cs="Times New Roman"/>
          <w:szCs w:val="24"/>
        </w:rPr>
      </w:pPr>
      <w:r w:rsidRPr="0058792C">
        <w:rPr>
          <w:rFonts w:cs="Times New Roman"/>
          <w:szCs w:val="24"/>
        </w:rPr>
        <w:t>Ces banques jouissent d’une crédibilité certaine à l’intérieur et l’extérieur du pays</w:t>
      </w:r>
      <w:r>
        <w:rPr>
          <w:rFonts w:cs="Times New Roman"/>
          <w:szCs w:val="24"/>
        </w:rPr>
        <w:t>.</w:t>
      </w:r>
      <w:r w:rsidRPr="0058792C">
        <w:rPr>
          <w:rFonts w:cs="Times New Roman"/>
          <w:szCs w:val="24"/>
        </w:rPr>
        <w:t xml:space="preserve"> Il s’agit des cinq banques commerciales existant</w:t>
      </w:r>
      <w:r w:rsidR="00E25974">
        <w:rPr>
          <w:rFonts w:cs="Times New Roman"/>
          <w:szCs w:val="24"/>
        </w:rPr>
        <w:t>e</w:t>
      </w:r>
      <w:r w:rsidRPr="0058792C">
        <w:rPr>
          <w:rFonts w:cs="Times New Roman"/>
          <w:szCs w:val="24"/>
        </w:rPr>
        <w:t>s</w:t>
      </w:r>
      <w:r>
        <w:rPr>
          <w:rFonts w:cs="Times New Roman"/>
          <w:szCs w:val="24"/>
        </w:rPr>
        <w:t xml:space="preserve"> av</w:t>
      </w:r>
      <w:r w:rsidRPr="0058792C">
        <w:rPr>
          <w:rFonts w:cs="Times New Roman"/>
          <w:szCs w:val="24"/>
        </w:rPr>
        <w:t>ant les réformes, à savoir : la BNA,</w:t>
      </w:r>
      <w:r>
        <w:rPr>
          <w:rFonts w:cs="Times New Roman"/>
          <w:szCs w:val="24"/>
        </w:rPr>
        <w:t xml:space="preserve"> le</w:t>
      </w:r>
      <w:r w:rsidRPr="0058792C">
        <w:rPr>
          <w:rFonts w:cs="Times New Roman"/>
          <w:szCs w:val="24"/>
        </w:rPr>
        <w:t xml:space="preserve"> CPA, </w:t>
      </w:r>
      <w:r w:rsidR="00E25974">
        <w:rPr>
          <w:rFonts w:cs="Times New Roman"/>
          <w:szCs w:val="24"/>
        </w:rPr>
        <w:t>BEA,</w:t>
      </w:r>
      <w:r>
        <w:rPr>
          <w:rFonts w:cs="Times New Roman"/>
          <w:szCs w:val="24"/>
        </w:rPr>
        <w:t xml:space="preserve"> </w:t>
      </w:r>
      <w:r w:rsidR="00E25974">
        <w:rPr>
          <w:rFonts w:cs="Times New Roman"/>
          <w:szCs w:val="24"/>
        </w:rPr>
        <w:t>BADR,</w:t>
      </w:r>
      <w:r w:rsidRPr="0058792C">
        <w:rPr>
          <w:rFonts w:cs="Times New Roman"/>
          <w:szCs w:val="24"/>
        </w:rPr>
        <w:t xml:space="preserve"> </w:t>
      </w:r>
      <w:r w:rsidR="00E25974">
        <w:rPr>
          <w:rFonts w:cs="Times New Roman"/>
          <w:szCs w:val="24"/>
        </w:rPr>
        <w:t>BDL et la CNEP Banque à partir de 1996</w:t>
      </w:r>
    </w:p>
    <w:p w:rsidR="001D5E53" w:rsidRPr="0058792C" w:rsidRDefault="001D5E53" w:rsidP="009C708D">
      <w:pPr>
        <w:pStyle w:val="Paragraphedeliste"/>
        <w:numPr>
          <w:ilvl w:val="0"/>
          <w:numId w:val="5"/>
        </w:numPr>
        <w:rPr>
          <w:rFonts w:cs="Times New Roman"/>
          <w:szCs w:val="24"/>
        </w:rPr>
      </w:pPr>
      <w:r w:rsidRPr="0058792C">
        <w:rPr>
          <w:rFonts w:cs="Times New Roman"/>
          <w:szCs w:val="24"/>
        </w:rPr>
        <w:t>Les nouvelles banques</w:t>
      </w:r>
      <w:r>
        <w:rPr>
          <w:rFonts w:cs="Times New Roman"/>
          <w:szCs w:val="24"/>
        </w:rPr>
        <w:t xml:space="preserve">, </w:t>
      </w:r>
    </w:p>
    <w:p w:rsidR="001D5E53" w:rsidRPr="0058792C" w:rsidRDefault="001D5E53" w:rsidP="00E25974">
      <w:pPr>
        <w:rPr>
          <w:rFonts w:cs="Times New Roman"/>
          <w:szCs w:val="24"/>
        </w:rPr>
      </w:pPr>
      <w:r w:rsidRPr="0058792C">
        <w:rPr>
          <w:rFonts w:cs="Times New Roman"/>
          <w:szCs w:val="24"/>
        </w:rPr>
        <w:t xml:space="preserve">La seconde catégorie regroupe les nouvelles banques </w:t>
      </w:r>
      <w:r>
        <w:rPr>
          <w:rFonts w:cs="Times New Roman"/>
          <w:szCs w:val="24"/>
        </w:rPr>
        <w:t>aux</w:t>
      </w:r>
      <w:r w:rsidRPr="0058792C">
        <w:rPr>
          <w:rFonts w:cs="Times New Roman"/>
          <w:szCs w:val="24"/>
        </w:rPr>
        <w:t xml:space="preserve"> capitaux essentiellement privés, d’origine interne ou externe. Ces institutions, au nombre de 1</w:t>
      </w:r>
      <w:r w:rsidR="00E25974">
        <w:rPr>
          <w:rFonts w:cs="Times New Roman"/>
          <w:szCs w:val="24"/>
        </w:rPr>
        <w:t>4</w:t>
      </w:r>
      <w:r w:rsidRPr="0058792C">
        <w:rPr>
          <w:rFonts w:cs="Times New Roman"/>
          <w:szCs w:val="24"/>
        </w:rPr>
        <w:t>, ont l’avantage de démarrer leur activité dans un environnement plus au moins assaini et dans le domaine d’une économie ouverte.</w:t>
      </w:r>
    </w:p>
    <w:p w:rsidR="001D5E53" w:rsidRPr="0058792C" w:rsidRDefault="001D5E53" w:rsidP="009C708D">
      <w:pPr>
        <w:pStyle w:val="Paragraphedeliste"/>
        <w:numPr>
          <w:ilvl w:val="0"/>
          <w:numId w:val="5"/>
        </w:numPr>
        <w:rPr>
          <w:rFonts w:cs="Times New Roman"/>
          <w:szCs w:val="24"/>
        </w:rPr>
      </w:pPr>
      <w:r w:rsidRPr="0058792C">
        <w:rPr>
          <w:rFonts w:cs="Times New Roman"/>
          <w:szCs w:val="24"/>
        </w:rPr>
        <w:t>Les institutions financières spécialisées</w:t>
      </w:r>
    </w:p>
    <w:p w:rsidR="001D5E53" w:rsidRPr="0058792C" w:rsidRDefault="00E25974" w:rsidP="00E25974">
      <w:pPr>
        <w:rPr>
          <w:rFonts w:cs="Times New Roman"/>
          <w:szCs w:val="24"/>
        </w:rPr>
      </w:pPr>
      <w:r>
        <w:rPr>
          <w:rFonts w:cs="Times New Roman"/>
          <w:szCs w:val="24"/>
        </w:rPr>
        <w:t>Elles sont au nombre de dix</w:t>
      </w:r>
      <w:r w:rsidR="001D5E53" w:rsidRPr="0058792C">
        <w:rPr>
          <w:rFonts w:cs="Times New Roman"/>
          <w:szCs w:val="24"/>
        </w:rPr>
        <w:t>, elles remplissent essentiellement deux fonctions :</w:t>
      </w:r>
    </w:p>
    <w:p w:rsidR="001D5E53" w:rsidRPr="0058792C" w:rsidRDefault="001D5E53" w:rsidP="009C708D">
      <w:pPr>
        <w:pStyle w:val="Paragraphedeliste"/>
        <w:numPr>
          <w:ilvl w:val="0"/>
          <w:numId w:val="6"/>
        </w:numPr>
        <w:rPr>
          <w:rFonts w:cs="Times New Roman"/>
          <w:szCs w:val="24"/>
        </w:rPr>
      </w:pPr>
      <w:r w:rsidRPr="0058792C">
        <w:rPr>
          <w:rFonts w:cs="Times New Roman"/>
          <w:szCs w:val="24"/>
        </w:rPr>
        <w:t>Octroyer des financements spécialisés ou prendre des participations dans des projets et des entreprises.</w:t>
      </w:r>
    </w:p>
    <w:p w:rsidR="001D5E53" w:rsidRPr="0058792C" w:rsidRDefault="001D5E53" w:rsidP="009C708D">
      <w:pPr>
        <w:pStyle w:val="Paragraphedeliste"/>
        <w:numPr>
          <w:ilvl w:val="0"/>
          <w:numId w:val="6"/>
        </w:numPr>
        <w:rPr>
          <w:rFonts w:cs="Times New Roman"/>
          <w:szCs w:val="24"/>
        </w:rPr>
      </w:pPr>
      <w:r w:rsidRPr="0058792C">
        <w:rPr>
          <w:rFonts w:cs="Times New Roman"/>
          <w:szCs w:val="24"/>
        </w:rPr>
        <w:t>Mutualiser les risques par dispositifs de garantie appropriés, afin de permettre aux banques de s’engager davantage dans le financement de l’économie et des entreprises et don</w:t>
      </w:r>
      <w:r>
        <w:rPr>
          <w:rFonts w:cs="Times New Roman"/>
          <w:szCs w:val="24"/>
        </w:rPr>
        <w:t>c</w:t>
      </w:r>
      <w:r w:rsidRPr="0058792C">
        <w:rPr>
          <w:rFonts w:cs="Times New Roman"/>
          <w:szCs w:val="24"/>
        </w:rPr>
        <w:t xml:space="preserve"> d’atténuer les risques d’insolvabilité.</w:t>
      </w:r>
    </w:p>
    <w:p w:rsidR="001D5E53" w:rsidRPr="0058792C" w:rsidRDefault="00E25974" w:rsidP="001D5E53">
      <w:pPr>
        <w:pStyle w:val="Titre2"/>
      </w:pPr>
      <w:bookmarkStart w:id="31" w:name="_Toc431979990"/>
      <w:r>
        <w:lastRenderedPageBreak/>
        <w:t xml:space="preserve">2.4  </w:t>
      </w:r>
      <w:r w:rsidR="001D5E53" w:rsidRPr="0058792C">
        <w:t xml:space="preserve">L’ordonnance N° 03-11 du 26 </w:t>
      </w:r>
      <w:r w:rsidR="001D5E53">
        <w:t>A</w:t>
      </w:r>
      <w:r w:rsidR="001D5E53" w:rsidRPr="0058792C">
        <w:t xml:space="preserve">oût 2003, relative à la monnaie et au crédit abrogeant la loi 90-10du 14 </w:t>
      </w:r>
      <w:r w:rsidR="001D5E53">
        <w:t>A</w:t>
      </w:r>
      <w:r w:rsidR="001D5E53" w:rsidRPr="0058792C">
        <w:t>vril relative à la monnaie et au crédit modifiée et complétée.</w:t>
      </w:r>
      <w:bookmarkEnd w:id="31"/>
    </w:p>
    <w:p w:rsidR="001D5E53" w:rsidRPr="0058792C" w:rsidRDefault="001D5E53" w:rsidP="001D5E53">
      <w:pPr>
        <w:rPr>
          <w:rFonts w:cs="Times New Roman"/>
          <w:szCs w:val="24"/>
        </w:rPr>
      </w:pPr>
      <w:r w:rsidRPr="0058792C">
        <w:rPr>
          <w:rFonts w:cs="Times New Roman"/>
          <w:szCs w:val="24"/>
        </w:rPr>
        <w:t>Cette ordonnance relative à la monnaie et au crédit, comporte dans cette structure 143 articles</w:t>
      </w:r>
      <w:r>
        <w:rPr>
          <w:rFonts w:cs="Times New Roman"/>
          <w:szCs w:val="24"/>
        </w:rPr>
        <w:t>. Un</w:t>
      </w:r>
      <w:r w:rsidRPr="0058792C">
        <w:rPr>
          <w:rFonts w:cs="Times New Roman"/>
          <w:szCs w:val="24"/>
        </w:rPr>
        <w:t xml:space="preserve"> effort est consenti au niveau de la réduction par rapport à l’ancienne loi pour lever les équivoques et ambiguïtés entretenues par le législateur lors de son élaboration </w:t>
      </w:r>
      <w:r>
        <w:rPr>
          <w:rFonts w:cs="Times New Roman"/>
          <w:szCs w:val="24"/>
        </w:rPr>
        <w:t xml:space="preserve">de </w:t>
      </w:r>
      <w:r w:rsidRPr="0058792C">
        <w:rPr>
          <w:rFonts w:cs="Times New Roman"/>
          <w:szCs w:val="24"/>
        </w:rPr>
        <w:t>la loi 90</w:t>
      </w:r>
      <w:r>
        <w:rPr>
          <w:rFonts w:cs="Times New Roman"/>
          <w:szCs w:val="24"/>
        </w:rPr>
        <w:t>/</w:t>
      </w:r>
      <w:r w:rsidRPr="0058792C">
        <w:rPr>
          <w:rFonts w:cs="Times New Roman"/>
          <w:szCs w:val="24"/>
        </w:rPr>
        <w:t xml:space="preserve">10 du 14 </w:t>
      </w:r>
      <w:r>
        <w:rPr>
          <w:rFonts w:cs="Times New Roman"/>
          <w:szCs w:val="24"/>
        </w:rPr>
        <w:t>A</w:t>
      </w:r>
      <w:r w:rsidRPr="0058792C">
        <w:rPr>
          <w:rFonts w:cs="Times New Roman"/>
          <w:szCs w:val="24"/>
        </w:rPr>
        <w:t>vril 1990 relative à la monnaie et au crédit, et qui ont conduit à des dérapages.</w:t>
      </w:r>
      <w:r w:rsidR="005B33F3">
        <w:rPr>
          <w:rFonts w:cs="Times New Roman"/>
          <w:szCs w:val="24"/>
        </w:rPr>
        <w:t xml:space="preserve"> </w:t>
      </w:r>
      <w:r w:rsidRPr="0058792C">
        <w:rPr>
          <w:rFonts w:cs="Times New Roman"/>
          <w:szCs w:val="24"/>
        </w:rPr>
        <w:t xml:space="preserve">Cette ordonnance présente certains </w:t>
      </w:r>
      <w:r>
        <w:rPr>
          <w:rFonts w:cs="Times New Roman"/>
          <w:szCs w:val="24"/>
        </w:rPr>
        <w:t xml:space="preserve">compteurs </w:t>
      </w:r>
      <w:r w:rsidRPr="0058792C">
        <w:rPr>
          <w:rFonts w:cs="Times New Roman"/>
          <w:szCs w:val="24"/>
        </w:rPr>
        <w:t xml:space="preserve">qui tentent </w:t>
      </w:r>
      <w:r>
        <w:rPr>
          <w:rFonts w:cs="Times New Roman"/>
          <w:szCs w:val="24"/>
        </w:rPr>
        <w:t>de</w:t>
      </w:r>
      <w:r w:rsidRPr="0058792C">
        <w:rPr>
          <w:rFonts w:cs="Times New Roman"/>
          <w:szCs w:val="24"/>
        </w:rPr>
        <w:t xml:space="preserve"> remédier à quelques imperfections d’ordre technique</w:t>
      </w:r>
      <w:r>
        <w:rPr>
          <w:rFonts w:cs="Times New Roman"/>
          <w:szCs w:val="24"/>
        </w:rPr>
        <w:t>s</w:t>
      </w:r>
      <w:r w:rsidRPr="0058792C">
        <w:rPr>
          <w:rFonts w:cs="Times New Roman"/>
          <w:szCs w:val="24"/>
        </w:rPr>
        <w:t xml:space="preserve">, dans l’intérêt, bien </w:t>
      </w:r>
      <w:r>
        <w:rPr>
          <w:rFonts w:cs="Times New Roman"/>
          <w:szCs w:val="24"/>
        </w:rPr>
        <w:t>entendu</w:t>
      </w:r>
      <w:r w:rsidRPr="0058792C">
        <w:rPr>
          <w:rFonts w:cs="Times New Roman"/>
          <w:szCs w:val="24"/>
        </w:rPr>
        <w:t xml:space="preserve"> de la profession.</w:t>
      </w:r>
    </w:p>
    <w:p w:rsidR="001D5E53" w:rsidRPr="0058792C" w:rsidRDefault="00E25974" w:rsidP="002011B7">
      <w:pPr>
        <w:pStyle w:val="Titre3"/>
        <w:numPr>
          <w:ilvl w:val="2"/>
          <w:numId w:val="41"/>
        </w:numPr>
      </w:pPr>
      <w:bookmarkStart w:id="32" w:name="_Toc431979991"/>
      <w:r>
        <w:t>C</w:t>
      </w:r>
      <w:r w:rsidR="002011B7">
        <w:t>ontours</w:t>
      </w:r>
      <w:bookmarkStart w:id="33" w:name="_GoBack"/>
      <w:bookmarkEnd w:id="33"/>
      <w:r w:rsidR="001D5E53" w:rsidRPr="0058792C">
        <w:t xml:space="preserve"> de l’ordonnance N° 03-11 du 26-aout 2003</w:t>
      </w:r>
      <w:bookmarkEnd w:id="32"/>
    </w:p>
    <w:p w:rsidR="001D5E53" w:rsidRPr="0058792C" w:rsidRDefault="001D5E53" w:rsidP="001D5E53">
      <w:pPr>
        <w:rPr>
          <w:rFonts w:cs="Times New Roman"/>
          <w:szCs w:val="24"/>
        </w:rPr>
      </w:pPr>
      <w:r w:rsidRPr="0058792C">
        <w:rPr>
          <w:rFonts w:cs="Times New Roman"/>
          <w:szCs w:val="24"/>
        </w:rPr>
        <w:t>Cette ordonnance nous offre l’occasion de revenir sur des questions d’intérêt pour la sphère bancaire et financière dans notre pays.</w:t>
      </w:r>
    </w:p>
    <w:p w:rsidR="001D5E53" w:rsidRPr="0058792C" w:rsidRDefault="001D5E53" w:rsidP="00D95740">
      <w:pPr>
        <w:pStyle w:val="Titre3"/>
        <w:numPr>
          <w:ilvl w:val="2"/>
          <w:numId w:val="41"/>
        </w:numPr>
      </w:pPr>
      <w:bookmarkStart w:id="34" w:name="_Toc431979992"/>
      <w:r w:rsidRPr="0058792C">
        <w:t>Rappel du statut de l’établissement financier et des catégories juridiques</w:t>
      </w:r>
      <w:bookmarkEnd w:id="34"/>
    </w:p>
    <w:p w:rsidR="001D5E53" w:rsidRPr="0058792C" w:rsidRDefault="001D5E53" w:rsidP="001D5E53">
      <w:pPr>
        <w:rPr>
          <w:rFonts w:cs="Times New Roman"/>
          <w:szCs w:val="24"/>
        </w:rPr>
      </w:pPr>
      <w:r w:rsidRPr="0058792C">
        <w:rPr>
          <w:rFonts w:cs="Times New Roman"/>
          <w:szCs w:val="24"/>
        </w:rPr>
        <w:t>Le statut de l’établissement financier a été rappelé dans le cadre de cette ordonnance. En effet, ces dernières ne peuvent recevoir des fonds publics et ne peuvent pas non plus gérer les moyens de paiement. Par ailleurs, les opérations bancaires ne sont exercées que par deux catégories d’établissement</w:t>
      </w:r>
      <w:r>
        <w:rPr>
          <w:rFonts w:cs="Times New Roman"/>
          <w:szCs w:val="24"/>
        </w:rPr>
        <w:t>s</w:t>
      </w:r>
      <w:r w:rsidRPr="0058792C">
        <w:rPr>
          <w:rFonts w:cs="Times New Roman"/>
          <w:szCs w:val="24"/>
        </w:rPr>
        <w:t> : les banques au sens de banques universelles et les établi</w:t>
      </w:r>
      <w:r w:rsidR="00E25974">
        <w:rPr>
          <w:rFonts w:cs="Times New Roman"/>
          <w:szCs w:val="24"/>
        </w:rPr>
        <w:t>ssements financiers spécialisés, ces dernières n’ont pas le droit de gérer les moyens de paiement.</w:t>
      </w:r>
    </w:p>
    <w:p w:rsidR="001D5E53" w:rsidRPr="0058792C" w:rsidRDefault="001D5E53" w:rsidP="001D5E53">
      <w:pPr>
        <w:rPr>
          <w:rFonts w:cs="Times New Roman"/>
          <w:szCs w:val="24"/>
        </w:rPr>
      </w:pPr>
      <w:r w:rsidRPr="0058792C">
        <w:rPr>
          <w:rFonts w:cs="Times New Roman"/>
          <w:szCs w:val="24"/>
        </w:rPr>
        <w:t>Les banques universelles sont venues ainsi supprimer la distinction entre : banque d’affaires, banque de dépôts et banque a statut spécial. Ce choix évitera toute distorsion de la concurrence et des banques agrées peuvent s’engager dans n’importe quelle activité bancaire, sans pour autant solliciter une autorisation préalable.</w:t>
      </w:r>
      <w:r w:rsidRPr="0058792C">
        <w:rPr>
          <w:rStyle w:val="Appelnotedebasdep"/>
          <w:rFonts w:cs="Times New Roman"/>
          <w:szCs w:val="24"/>
        </w:rPr>
        <w:footnoteReference w:id="15"/>
      </w:r>
    </w:p>
    <w:p w:rsidR="001D5E53" w:rsidRPr="0058792C" w:rsidRDefault="001D5E53" w:rsidP="001D5E53">
      <w:pPr>
        <w:rPr>
          <w:rFonts w:cs="Times New Roman"/>
          <w:szCs w:val="24"/>
        </w:rPr>
      </w:pPr>
      <w:r w:rsidRPr="0058792C">
        <w:rPr>
          <w:rFonts w:cs="Times New Roman"/>
          <w:szCs w:val="24"/>
        </w:rPr>
        <w:t xml:space="preserve">L’ordonnance 03/11 du 26 </w:t>
      </w:r>
      <w:r>
        <w:rPr>
          <w:rFonts w:cs="Times New Roman"/>
          <w:szCs w:val="24"/>
        </w:rPr>
        <w:t>A</w:t>
      </w:r>
      <w:r w:rsidRPr="0058792C">
        <w:rPr>
          <w:rFonts w:cs="Times New Roman"/>
          <w:szCs w:val="24"/>
        </w:rPr>
        <w:t>o</w:t>
      </w:r>
      <w:r>
        <w:rPr>
          <w:rFonts w:cs="Times New Roman"/>
          <w:szCs w:val="24"/>
        </w:rPr>
        <w:t>û</w:t>
      </w:r>
      <w:r w:rsidRPr="0058792C">
        <w:rPr>
          <w:rFonts w:cs="Times New Roman"/>
          <w:szCs w:val="24"/>
        </w:rPr>
        <w:t>t 2003 stipules que les banques et les établissements financiers soient constitués sous forme de sociétés par actions</w:t>
      </w:r>
      <w:r w:rsidR="00E25974">
        <w:rPr>
          <w:rFonts w:cs="Times New Roman"/>
          <w:szCs w:val="24"/>
        </w:rPr>
        <w:t xml:space="preserve"> </w:t>
      </w:r>
      <w:r w:rsidRPr="0058792C">
        <w:rPr>
          <w:rFonts w:cs="Times New Roman"/>
          <w:szCs w:val="24"/>
        </w:rPr>
        <w:t xml:space="preserve">(SPA), sur la base d’un dossier complémentaire </w:t>
      </w:r>
      <w:r>
        <w:rPr>
          <w:rFonts w:cs="Times New Roman"/>
          <w:szCs w:val="24"/>
        </w:rPr>
        <w:t>d’</w:t>
      </w:r>
      <w:r w:rsidRPr="0058792C">
        <w:rPr>
          <w:rFonts w:cs="Times New Roman"/>
          <w:szCs w:val="24"/>
        </w:rPr>
        <w:t xml:space="preserve">une enquête relative au respect des dispositions de l’ordonnance 03/11 du 26 </w:t>
      </w:r>
      <w:r>
        <w:rPr>
          <w:rFonts w:cs="Times New Roman"/>
          <w:szCs w:val="24"/>
        </w:rPr>
        <w:t>A</w:t>
      </w:r>
      <w:r w:rsidRPr="0058792C">
        <w:rPr>
          <w:rFonts w:cs="Times New Roman"/>
          <w:szCs w:val="24"/>
        </w:rPr>
        <w:t>oût 2003.</w:t>
      </w:r>
    </w:p>
    <w:p w:rsidR="001D5E53" w:rsidRPr="0058792C" w:rsidRDefault="001D5E53" w:rsidP="001D5E53">
      <w:pPr>
        <w:rPr>
          <w:rFonts w:cs="Times New Roman"/>
          <w:szCs w:val="24"/>
        </w:rPr>
      </w:pPr>
      <w:r w:rsidRPr="0058792C">
        <w:rPr>
          <w:rFonts w:cs="Times New Roman"/>
          <w:szCs w:val="24"/>
        </w:rPr>
        <w:t>Le conseil de la monnaie et du crédit apprécie également l’opportunité pour ces organismes de prendre la forme d’une mutualité.</w:t>
      </w:r>
      <w:r w:rsidR="005B33F3">
        <w:rPr>
          <w:rFonts w:cs="Times New Roman"/>
          <w:szCs w:val="24"/>
        </w:rPr>
        <w:t xml:space="preserve"> </w:t>
      </w:r>
      <w:r w:rsidRPr="0058792C">
        <w:rPr>
          <w:rFonts w:cs="Times New Roman"/>
          <w:szCs w:val="24"/>
        </w:rPr>
        <w:t>Cependant, cette nouvelle catégorie d’établissements financiers est introduite sans pour autant donner sa particularité et ses missions par rapport aux autres catégories d’établissement financier.</w:t>
      </w:r>
    </w:p>
    <w:p w:rsidR="001D5E53" w:rsidRPr="0058792C" w:rsidRDefault="00E25974" w:rsidP="00E25974">
      <w:pPr>
        <w:pStyle w:val="Titre3"/>
        <w:numPr>
          <w:ilvl w:val="0"/>
          <w:numId w:val="0"/>
        </w:numPr>
      </w:pPr>
      <w:bookmarkStart w:id="35" w:name="_Toc431979993"/>
      <w:r>
        <w:lastRenderedPageBreak/>
        <w:t>2.4.3 L</w:t>
      </w:r>
      <w:r w:rsidR="001D5E53" w:rsidRPr="0058792C">
        <w:t>a règle du capital minimum et le régime de participation et des ressources obligatoires</w:t>
      </w:r>
      <w:bookmarkEnd w:id="35"/>
    </w:p>
    <w:p w:rsidR="001D5E53" w:rsidRPr="0058792C" w:rsidRDefault="001D5E53" w:rsidP="001D5E53">
      <w:pPr>
        <w:rPr>
          <w:rFonts w:cs="Times New Roman"/>
          <w:szCs w:val="24"/>
        </w:rPr>
      </w:pPr>
      <w:r w:rsidRPr="0058792C">
        <w:rPr>
          <w:rFonts w:cs="Times New Roman"/>
          <w:szCs w:val="24"/>
        </w:rPr>
        <w:t>A l’issue de l’ordonnance N°03</w:t>
      </w:r>
      <w:r>
        <w:rPr>
          <w:rFonts w:cs="Times New Roman"/>
          <w:szCs w:val="24"/>
        </w:rPr>
        <w:t>/</w:t>
      </w:r>
      <w:r w:rsidRPr="0058792C">
        <w:rPr>
          <w:rFonts w:cs="Times New Roman"/>
          <w:szCs w:val="24"/>
        </w:rPr>
        <w:t xml:space="preserve">11 du 26 </w:t>
      </w:r>
      <w:r>
        <w:rPr>
          <w:rFonts w:cs="Times New Roman"/>
          <w:szCs w:val="24"/>
        </w:rPr>
        <w:t>A</w:t>
      </w:r>
      <w:r w:rsidRPr="0058792C">
        <w:rPr>
          <w:rFonts w:cs="Times New Roman"/>
          <w:szCs w:val="24"/>
        </w:rPr>
        <w:t>oût 2003, les banques et les établissements financiers doivent disposer d’un capital libéré en totalité et en numéraire. Toutefois, les autorités monétaires peuvent moduler dans le temps la libération du capital minimum.</w:t>
      </w:r>
      <w:r w:rsidRPr="0058792C">
        <w:rPr>
          <w:rStyle w:val="Appelnotedebasdep"/>
          <w:rFonts w:cs="Times New Roman"/>
          <w:szCs w:val="24"/>
        </w:rPr>
        <w:footnoteReference w:id="16"/>
      </w:r>
    </w:p>
    <w:p w:rsidR="001D5E53" w:rsidRPr="0058792C" w:rsidRDefault="001D5E53" w:rsidP="00757D25">
      <w:pPr>
        <w:rPr>
          <w:rFonts w:cs="Times New Roman"/>
          <w:szCs w:val="24"/>
        </w:rPr>
      </w:pPr>
      <w:r w:rsidRPr="0058792C">
        <w:rPr>
          <w:rFonts w:cs="Times New Roman"/>
          <w:szCs w:val="24"/>
        </w:rPr>
        <w:t>Cependant le pourcentage de participation des banques et des établissements financiers dans les entreprises créées ou en création et dont le plafond était limité à 50% des fonds propres.</w:t>
      </w:r>
    </w:p>
    <w:p w:rsidR="001D5E53" w:rsidRPr="0058792C" w:rsidRDefault="001D5E53" w:rsidP="001D5E53">
      <w:pPr>
        <w:rPr>
          <w:rFonts w:cs="Times New Roman"/>
          <w:szCs w:val="24"/>
        </w:rPr>
      </w:pPr>
      <w:r w:rsidRPr="0058792C">
        <w:rPr>
          <w:rFonts w:cs="Times New Roman"/>
          <w:szCs w:val="24"/>
        </w:rPr>
        <w:t>La nouvelle ordonnance a supprimé cette limite de 50% et charge le conseil de la monnaie et du crédit de fixer cette fois, les limites pour les banques</w:t>
      </w:r>
      <w:r>
        <w:rPr>
          <w:rFonts w:cs="Times New Roman"/>
          <w:szCs w:val="24"/>
        </w:rPr>
        <w:t>, c</w:t>
      </w:r>
      <w:r w:rsidRPr="00576EB7">
        <w:rPr>
          <w:rFonts w:cs="Times New Roman"/>
          <w:szCs w:val="24"/>
        </w:rPr>
        <w:t>e qui signifie que les établissements financiers ne sont pas concernés par ces plafonds.</w:t>
      </w:r>
    </w:p>
    <w:p w:rsidR="001D5E53" w:rsidRPr="0058792C" w:rsidRDefault="00184DE9" w:rsidP="00184DE9">
      <w:pPr>
        <w:pStyle w:val="Titre3"/>
        <w:numPr>
          <w:ilvl w:val="2"/>
          <w:numId w:val="42"/>
        </w:numPr>
      </w:pPr>
      <w:bookmarkStart w:id="36" w:name="_Toc431979994"/>
      <w:r>
        <w:t>Renforcement de la supervision</w:t>
      </w:r>
      <w:r w:rsidR="001D5E53" w:rsidRPr="0058792C">
        <w:t xml:space="preserve"> bancaire</w:t>
      </w:r>
      <w:bookmarkEnd w:id="36"/>
    </w:p>
    <w:p w:rsidR="001D5E53" w:rsidRPr="0058792C" w:rsidRDefault="001D5E53" w:rsidP="001D5E53">
      <w:pPr>
        <w:rPr>
          <w:rFonts w:cs="Times New Roman"/>
          <w:szCs w:val="24"/>
        </w:rPr>
      </w:pPr>
      <w:r w:rsidRPr="0058792C">
        <w:rPr>
          <w:rFonts w:cs="Times New Roman"/>
          <w:szCs w:val="24"/>
        </w:rPr>
        <w:t>Sous l’égide de la loi 90</w:t>
      </w:r>
      <w:r>
        <w:rPr>
          <w:rFonts w:cs="Times New Roman"/>
          <w:szCs w:val="24"/>
        </w:rPr>
        <w:t>/</w:t>
      </w:r>
      <w:r w:rsidRPr="0058792C">
        <w:rPr>
          <w:rFonts w:cs="Times New Roman"/>
          <w:szCs w:val="24"/>
        </w:rPr>
        <w:t>10, le contrôle bancaire était confié à deux autorités indépendantes dont la commission centrale qui se voyait accomplie quasiment les même</w:t>
      </w:r>
      <w:r>
        <w:rPr>
          <w:rFonts w:cs="Times New Roman"/>
          <w:szCs w:val="24"/>
        </w:rPr>
        <w:t>s</w:t>
      </w:r>
      <w:r w:rsidRPr="0058792C">
        <w:rPr>
          <w:rFonts w:cs="Times New Roman"/>
          <w:szCs w:val="24"/>
        </w:rPr>
        <w:t xml:space="preserve"> missions de contrôle.</w:t>
      </w:r>
      <w:r w:rsidR="00C208DD">
        <w:rPr>
          <w:rFonts w:cs="Times New Roman"/>
          <w:szCs w:val="24"/>
        </w:rPr>
        <w:t xml:space="preserve"> </w:t>
      </w:r>
      <w:r w:rsidRPr="0058792C">
        <w:rPr>
          <w:rFonts w:cs="Times New Roman"/>
          <w:szCs w:val="24"/>
        </w:rPr>
        <w:t>Cette dualité de contrôle a été</w:t>
      </w:r>
      <w:r>
        <w:rPr>
          <w:rFonts w:cs="Times New Roman"/>
          <w:szCs w:val="24"/>
        </w:rPr>
        <w:t xml:space="preserve"> créée</w:t>
      </w:r>
      <w:r w:rsidRPr="0058792C">
        <w:rPr>
          <w:rFonts w:cs="Times New Roman"/>
          <w:szCs w:val="24"/>
        </w:rPr>
        <w:t xml:space="preserve"> ave</w:t>
      </w:r>
      <w:r>
        <w:rPr>
          <w:rFonts w:cs="Times New Roman"/>
          <w:szCs w:val="24"/>
        </w:rPr>
        <w:t>c l</w:t>
      </w:r>
      <w:r w:rsidRPr="0058792C">
        <w:rPr>
          <w:rFonts w:cs="Times New Roman"/>
          <w:szCs w:val="24"/>
        </w:rPr>
        <w:t>’ordonnance 03</w:t>
      </w:r>
      <w:r>
        <w:rPr>
          <w:rFonts w:cs="Times New Roman"/>
          <w:szCs w:val="24"/>
        </w:rPr>
        <w:t>/</w:t>
      </w:r>
      <w:r w:rsidRPr="0058792C">
        <w:rPr>
          <w:rFonts w:cs="Times New Roman"/>
          <w:szCs w:val="24"/>
        </w:rPr>
        <w:t xml:space="preserve">11, </w:t>
      </w:r>
      <w:r>
        <w:rPr>
          <w:rFonts w:cs="Times New Roman"/>
          <w:szCs w:val="24"/>
        </w:rPr>
        <w:t>et à présent</w:t>
      </w:r>
      <w:r w:rsidRPr="0058792C">
        <w:rPr>
          <w:rFonts w:cs="Times New Roman"/>
          <w:szCs w:val="24"/>
        </w:rPr>
        <w:t xml:space="preserve"> seule la commission bancair</w:t>
      </w:r>
      <w:r>
        <w:rPr>
          <w:rFonts w:cs="Times New Roman"/>
          <w:szCs w:val="24"/>
        </w:rPr>
        <w:t xml:space="preserve">e est </w:t>
      </w:r>
      <w:r w:rsidRPr="0058792C">
        <w:rPr>
          <w:rFonts w:cs="Times New Roman"/>
          <w:szCs w:val="24"/>
        </w:rPr>
        <w:t xml:space="preserve">en charge de la supervision </w:t>
      </w:r>
      <w:r>
        <w:rPr>
          <w:rFonts w:cs="Times New Roman"/>
          <w:szCs w:val="24"/>
        </w:rPr>
        <w:t xml:space="preserve"> et </w:t>
      </w:r>
      <w:r w:rsidRPr="0058792C">
        <w:rPr>
          <w:rFonts w:cs="Times New Roman"/>
          <w:szCs w:val="24"/>
        </w:rPr>
        <w:t>doté</w:t>
      </w:r>
      <w:r>
        <w:rPr>
          <w:rFonts w:cs="Times New Roman"/>
          <w:szCs w:val="24"/>
        </w:rPr>
        <w:t>e</w:t>
      </w:r>
      <w:r w:rsidRPr="0058792C">
        <w:rPr>
          <w:rFonts w:cs="Times New Roman"/>
          <w:szCs w:val="24"/>
        </w:rPr>
        <w:t xml:space="preserve"> d’un statut de juridiction.</w:t>
      </w:r>
      <w:r w:rsidR="00C208DD">
        <w:rPr>
          <w:rFonts w:cs="Times New Roman"/>
          <w:szCs w:val="24"/>
        </w:rPr>
        <w:t xml:space="preserve"> </w:t>
      </w:r>
      <w:r w:rsidRPr="0058792C">
        <w:rPr>
          <w:rFonts w:cs="Times New Roman"/>
          <w:szCs w:val="24"/>
        </w:rPr>
        <w:t>De plus</w:t>
      </w:r>
      <w:r>
        <w:rPr>
          <w:rFonts w:cs="Times New Roman"/>
          <w:szCs w:val="24"/>
        </w:rPr>
        <w:t xml:space="preserve">, elle </w:t>
      </w:r>
      <w:r w:rsidRPr="0058792C">
        <w:rPr>
          <w:rFonts w:cs="Times New Roman"/>
          <w:szCs w:val="24"/>
        </w:rPr>
        <w:t>est dotée d’un secrétariat général qui devient ainsi un organe de la loi, ce qui renforcera inéluctablement son action et ses activités liées au contrôle.</w:t>
      </w:r>
    </w:p>
    <w:p w:rsidR="001D5E53" w:rsidRPr="0058792C" w:rsidRDefault="001D5E53" w:rsidP="00D95740">
      <w:pPr>
        <w:pStyle w:val="Titre3"/>
        <w:numPr>
          <w:ilvl w:val="2"/>
          <w:numId w:val="42"/>
        </w:numPr>
      </w:pPr>
      <w:bookmarkStart w:id="37" w:name="_Toc431979995"/>
      <w:r w:rsidRPr="0058792C">
        <w:t>La garantie de dépôts</w:t>
      </w:r>
      <w:bookmarkEnd w:id="37"/>
    </w:p>
    <w:p w:rsidR="001D5E53" w:rsidRPr="0058792C" w:rsidRDefault="001D5E53" w:rsidP="003E302A">
      <w:pPr>
        <w:rPr>
          <w:rFonts w:cs="Times New Roman"/>
          <w:szCs w:val="24"/>
        </w:rPr>
      </w:pPr>
      <w:r w:rsidRPr="0058792C">
        <w:rPr>
          <w:rFonts w:cs="Times New Roman"/>
          <w:szCs w:val="24"/>
        </w:rPr>
        <w:t>La garantie de dépôts a été réaménagée</w:t>
      </w:r>
      <w:r w:rsidR="003E302A">
        <w:rPr>
          <w:rFonts w:cs="Times New Roman"/>
          <w:szCs w:val="24"/>
        </w:rPr>
        <w:t xml:space="preserve"> et il</w:t>
      </w:r>
      <w:r w:rsidRPr="0058792C">
        <w:rPr>
          <w:rFonts w:cs="Times New Roman"/>
          <w:szCs w:val="24"/>
        </w:rPr>
        <w:t xml:space="preserve"> n’est plus question de sociétés par action mais il y a le caractère d’intérêt public de l’ancienne loi sur la monnaie et le crédit </w:t>
      </w:r>
      <w:r w:rsidR="003E302A">
        <w:rPr>
          <w:rFonts w:cs="Times New Roman"/>
          <w:szCs w:val="24"/>
        </w:rPr>
        <w:t>qui a</w:t>
      </w:r>
      <w:r w:rsidRPr="0058792C">
        <w:rPr>
          <w:rFonts w:cs="Times New Roman"/>
          <w:szCs w:val="24"/>
        </w:rPr>
        <w:t xml:space="preserve"> impliquer le trésor dans le financement de la caisse de garantie des dépôts à hauteur de 52% de la part versée par les banques.</w:t>
      </w:r>
    </w:p>
    <w:p w:rsidR="001D5E53" w:rsidRPr="0058792C" w:rsidRDefault="001D5E53" w:rsidP="00D95740">
      <w:pPr>
        <w:pStyle w:val="Titre3"/>
        <w:numPr>
          <w:ilvl w:val="2"/>
          <w:numId w:val="42"/>
        </w:numPr>
      </w:pPr>
      <w:bookmarkStart w:id="38" w:name="_Toc431979996"/>
      <w:r w:rsidRPr="0058792C">
        <w:t>Les organismes à l’extérieur de la législation bancaire</w:t>
      </w:r>
      <w:bookmarkEnd w:id="38"/>
    </w:p>
    <w:p w:rsidR="001D5E53" w:rsidRPr="0058792C" w:rsidRDefault="001D5E53" w:rsidP="001D5E53">
      <w:pPr>
        <w:rPr>
          <w:rFonts w:cs="Times New Roman"/>
          <w:szCs w:val="24"/>
        </w:rPr>
      </w:pPr>
      <w:r w:rsidRPr="0058792C">
        <w:rPr>
          <w:rFonts w:cs="Times New Roman"/>
          <w:szCs w:val="24"/>
        </w:rPr>
        <w:t>L’ordonnance 03</w:t>
      </w:r>
      <w:r>
        <w:rPr>
          <w:rFonts w:cs="Times New Roman"/>
          <w:szCs w:val="24"/>
        </w:rPr>
        <w:t>/</w:t>
      </w:r>
      <w:r w:rsidRPr="0058792C">
        <w:rPr>
          <w:rFonts w:cs="Times New Roman"/>
          <w:szCs w:val="24"/>
        </w:rPr>
        <w:t>11 exclut certains organismes du champ de la législation qui s’applique aux banques dont on peut</w:t>
      </w:r>
      <w:r>
        <w:rPr>
          <w:rFonts w:cs="Times New Roman"/>
          <w:szCs w:val="24"/>
        </w:rPr>
        <w:t xml:space="preserve"> é</w:t>
      </w:r>
      <w:r w:rsidRPr="0058792C">
        <w:rPr>
          <w:rFonts w:cs="Times New Roman"/>
          <w:szCs w:val="24"/>
        </w:rPr>
        <w:t>numérer le trésor et les organismes sans but lucratif : dérogation fait à des organismes d’habitat.</w:t>
      </w:r>
      <w:r w:rsidRPr="0058792C">
        <w:rPr>
          <w:rStyle w:val="Appelnotedebasdep"/>
          <w:rFonts w:cs="Times New Roman"/>
          <w:szCs w:val="24"/>
        </w:rPr>
        <w:footnoteReference w:id="17"/>
      </w:r>
      <w:r w:rsidRPr="0058792C">
        <w:rPr>
          <w:rFonts w:cs="Times New Roman"/>
          <w:szCs w:val="24"/>
        </w:rPr>
        <w:t>Quant aux services financiers de la poste (Algérie-poste), ils ne sont plus énumérés parmi les institutions hors bancaire</w:t>
      </w:r>
      <w:r>
        <w:rPr>
          <w:rFonts w:cs="Times New Roman"/>
          <w:szCs w:val="24"/>
        </w:rPr>
        <w:t>s</w:t>
      </w:r>
      <w:r w:rsidRPr="0058792C">
        <w:rPr>
          <w:rFonts w:cs="Times New Roman"/>
          <w:szCs w:val="24"/>
        </w:rPr>
        <w:t xml:space="preserve">. Cependant, </w:t>
      </w:r>
      <w:r w:rsidRPr="0058792C">
        <w:rPr>
          <w:rFonts w:cs="Times New Roman"/>
          <w:szCs w:val="24"/>
        </w:rPr>
        <w:lastRenderedPageBreak/>
        <w:t xml:space="preserve">pour </w:t>
      </w:r>
      <w:r>
        <w:rPr>
          <w:rFonts w:cs="Times New Roman"/>
          <w:szCs w:val="24"/>
        </w:rPr>
        <w:t>s</w:t>
      </w:r>
      <w:r w:rsidRPr="0058792C">
        <w:rPr>
          <w:rFonts w:cs="Times New Roman"/>
          <w:szCs w:val="24"/>
        </w:rPr>
        <w:t>e conf</w:t>
      </w:r>
      <w:r>
        <w:rPr>
          <w:rFonts w:cs="Times New Roman"/>
          <w:szCs w:val="24"/>
        </w:rPr>
        <w:t>o</w:t>
      </w:r>
      <w:r w:rsidRPr="0058792C">
        <w:rPr>
          <w:rFonts w:cs="Times New Roman"/>
          <w:szCs w:val="24"/>
        </w:rPr>
        <w:t xml:space="preserve">rmer à </w:t>
      </w:r>
      <w:r>
        <w:rPr>
          <w:rFonts w:cs="Times New Roman"/>
          <w:szCs w:val="24"/>
        </w:rPr>
        <w:t xml:space="preserve">la </w:t>
      </w:r>
      <w:r w:rsidRPr="0058792C">
        <w:rPr>
          <w:rFonts w:cs="Times New Roman"/>
          <w:szCs w:val="24"/>
        </w:rPr>
        <w:t xml:space="preserve">loi, </w:t>
      </w:r>
      <w:r>
        <w:rPr>
          <w:rFonts w:cs="Times New Roman"/>
          <w:szCs w:val="24"/>
        </w:rPr>
        <w:t>ils</w:t>
      </w:r>
      <w:r w:rsidRPr="0058792C">
        <w:rPr>
          <w:rFonts w:cs="Times New Roman"/>
          <w:szCs w:val="24"/>
        </w:rPr>
        <w:t xml:space="preserve"> doivent se constituer en société par action et non pas EPTC, tel que c’est le cas d’Algérie-poste.</w:t>
      </w:r>
    </w:p>
    <w:p w:rsidR="001D5E53" w:rsidRPr="0058792C" w:rsidRDefault="001D5E53" w:rsidP="00D95740">
      <w:pPr>
        <w:pStyle w:val="Titre3"/>
        <w:numPr>
          <w:ilvl w:val="2"/>
          <w:numId w:val="42"/>
        </w:numPr>
      </w:pPr>
      <w:bookmarkStart w:id="39" w:name="_Toc431979997"/>
      <w:r w:rsidRPr="0058792C">
        <w:t>La transposition des normes comptables internationales</w:t>
      </w:r>
      <w:bookmarkEnd w:id="39"/>
    </w:p>
    <w:p w:rsidR="001D5E53" w:rsidRPr="0058792C" w:rsidRDefault="002334B4" w:rsidP="00A17A01">
      <w:pPr>
        <w:rPr>
          <w:rFonts w:cs="Times New Roman"/>
          <w:szCs w:val="24"/>
        </w:rPr>
      </w:pPr>
      <w:r>
        <w:rPr>
          <w:rFonts w:cs="Times New Roman"/>
          <w:szCs w:val="24"/>
        </w:rPr>
        <w:t>Le conseil de</w:t>
      </w:r>
      <w:r w:rsidR="001D5E53" w:rsidRPr="00F178AC">
        <w:rPr>
          <w:rFonts w:cs="Times New Roman"/>
          <w:szCs w:val="24"/>
        </w:rPr>
        <w:t xml:space="preserve"> la monnaie et le crédit qui est d’une normalisation comptable dans le domaine</w:t>
      </w:r>
      <w:r w:rsidR="001D5E53" w:rsidRPr="0058792C">
        <w:rPr>
          <w:rFonts w:cs="Times New Roman"/>
          <w:szCs w:val="24"/>
        </w:rPr>
        <w:t xml:space="preserve"> bancaire, </w:t>
      </w:r>
      <w:r w:rsidR="001D5E53">
        <w:rPr>
          <w:rFonts w:cs="Times New Roman"/>
          <w:szCs w:val="24"/>
        </w:rPr>
        <w:t xml:space="preserve">reçoit </w:t>
      </w:r>
      <w:r w:rsidR="001D5E53" w:rsidRPr="0058792C">
        <w:rPr>
          <w:rFonts w:cs="Times New Roman"/>
          <w:szCs w:val="24"/>
        </w:rPr>
        <w:t>la mission</w:t>
      </w:r>
      <w:r w:rsidR="00A17A01">
        <w:rPr>
          <w:rFonts w:cs="Times New Roman"/>
          <w:szCs w:val="24"/>
        </w:rPr>
        <w:t xml:space="preserve"> de </w:t>
      </w:r>
      <w:r w:rsidR="001D5E53" w:rsidRPr="0058792C">
        <w:rPr>
          <w:rFonts w:cs="Times New Roman"/>
          <w:szCs w:val="24"/>
        </w:rPr>
        <w:t xml:space="preserve">la diffusion des normes et des règles comptables, de </w:t>
      </w:r>
      <w:r w:rsidR="00A17A01">
        <w:rPr>
          <w:rFonts w:cs="Times New Roman"/>
          <w:szCs w:val="24"/>
        </w:rPr>
        <w:t>suivre</w:t>
      </w:r>
      <w:r w:rsidR="001D5E53" w:rsidRPr="0058792C">
        <w:rPr>
          <w:rFonts w:cs="Times New Roman"/>
          <w:szCs w:val="24"/>
        </w:rPr>
        <w:t xml:space="preserve"> aux évolutions internationales en la matière, c’est-à-dire, l’introduction dans le référentiel comptable propre aux banques et établissements financiers des normes </w:t>
      </w:r>
      <w:r w:rsidR="001D5E53">
        <w:rPr>
          <w:rFonts w:cs="Times New Roman"/>
          <w:szCs w:val="24"/>
        </w:rPr>
        <w:t>I</w:t>
      </w:r>
      <w:r w:rsidR="001D5E53" w:rsidRPr="0058792C">
        <w:rPr>
          <w:rFonts w:cs="Times New Roman"/>
          <w:szCs w:val="24"/>
        </w:rPr>
        <w:t xml:space="preserve">nternational </w:t>
      </w:r>
      <w:proofErr w:type="spellStart"/>
      <w:r w:rsidR="001D5E53">
        <w:rPr>
          <w:rFonts w:cs="Times New Roman"/>
          <w:szCs w:val="24"/>
        </w:rPr>
        <w:t>A</w:t>
      </w:r>
      <w:r w:rsidR="001D5E53" w:rsidRPr="0058792C">
        <w:rPr>
          <w:rFonts w:cs="Times New Roman"/>
          <w:szCs w:val="24"/>
        </w:rPr>
        <w:t>ccounting</w:t>
      </w:r>
      <w:proofErr w:type="spellEnd"/>
      <w:r w:rsidR="005B33F3">
        <w:rPr>
          <w:rFonts w:cs="Times New Roman"/>
          <w:szCs w:val="24"/>
        </w:rPr>
        <w:t xml:space="preserve"> </w:t>
      </w:r>
      <w:r w:rsidR="001D5E53">
        <w:rPr>
          <w:rFonts w:cs="Times New Roman"/>
          <w:szCs w:val="24"/>
        </w:rPr>
        <w:t>S</w:t>
      </w:r>
      <w:r w:rsidR="001D5E53" w:rsidRPr="0058792C">
        <w:rPr>
          <w:rFonts w:cs="Times New Roman"/>
          <w:szCs w:val="24"/>
        </w:rPr>
        <w:t>tandards</w:t>
      </w:r>
      <w:r>
        <w:rPr>
          <w:rFonts w:cs="Times New Roman"/>
          <w:szCs w:val="24"/>
        </w:rPr>
        <w:t xml:space="preserve"> </w:t>
      </w:r>
      <w:r w:rsidR="001D5E53" w:rsidRPr="0058792C">
        <w:rPr>
          <w:rFonts w:cs="Times New Roman"/>
          <w:szCs w:val="24"/>
        </w:rPr>
        <w:t xml:space="preserve">(IAS) comme cela est </w:t>
      </w:r>
      <w:r w:rsidR="001D5E53">
        <w:rPr>
          <w:rFonts w:cs="Times New Roman"/>
          <w:szCs w:val="24"/>
        </w:rPr>
        <w:t>le cas</w:t>
      </w:r>
      <w:r w:rsidR="001D5E53" w:rsidRPr="0058792C">
        <w:rPr>
          <w:rFonts w:cs="Times New Roman"/>
          <w:szCs w:val="24"/>
        </w:rPr>
        <w:t xml:space="preserve"> dans tous les pays, notamment en l’absence de protocole ou </w:t>
      </w:r>
      <w:r w:rsidR="001D5E53">
        <w:rPr>
          <w:rFonts w:cs="Times New Roman"/>
          <w:szCs w:val="24"/>
        </w:rPr>
        <w:t>d</w:t>
      </w:r>
      <w:r w:rsidR="001D5E53" w:rsidRPr="0058792C">
        <w:rPr>
          <w:rFonts w:cs="Times New Roman"/>
          <w:szCs w:val="24"/>
        </w:rPr>
        <w:t>e convention de coopération avec les autorités monétaires étrangères.</w:t>
      </w:r>
    </w:p>
    <w:p w:rsidR="001D5E53" w:rsidRPr="0058792C" w:rsidRDefault="002334B4" w:rsidP="002334B4">
      <w:pPr>
        <w:pStyle w:val="Titre3"/>
        <w:numPr>
          <w:ilvl w:val="0"/>
          <w:numId w:val="0"/>
        </w:numPr>
      </w:pPr>
      <w:bookmarkStart w:id="40" w:name="_Toc431979998"/>
      <w:r>
        <w:t>2.4.8 L</w:t>
      </w:r>
      <w:r w:rsidR="001D5E53" w:rsidRPr="0058792C">
        <w:t>e repositionnement de l’</w:t>
      </w:r>
      <w:r w:rsidR="001D5E53">
        <w:t>A</w:t>
      </w:r>
      <w:r w:rsidR="001D5E53" w:rsidRPr="0058792C">
        <w:t xml:space="preserve">ssociation des </w:t>
      </w:r>
      <w:r w:rsidR="001D5E53">
        <w:t>B</w:t>
      </w:r>
      <w:r w:rsidR="001D5E53" w:rsidRPr="0058792C">
        <w:t xml:space="preserve">anques et </w:t>
      </w:r>
      <w:r w:rsidR="001D5E53">
        <w:t>E</w:t>
      </w:r>
      <w:r w:rsidR="001D5E53" w:rsidRPr="0058792C">
        <w:t xml:space="preserve">tablissements </w:t>
      </w:r>
      <w:r w:rsidR="001D5E53">
        <w:t>F</w:t>
      </w:r>
      <w:r w:rsidR="001D5E53" w:rsidRPr="0058792C">
        <w:t>inanciers</w:t>
      </w:r>
      <w:r>
        <w:t xml:space="preserve"> </w:t>
      </w:r>
      <w:r w:rsidR="001D5E53" w:rsidRPr="0058792C">
        <w:t>(ABEF)</w:t>
      </w:r>
      <w:bookmarkEnd w:id="40"/>
    </w:p>
    <w:p w:rsidR="001D5E53" w:rsidRPr="0058792C" w:rsidRDefault="001D5E53" w:rsidP="001D5E53">
      <w:pPr>
        <w:rPr>
          <w:rFonts w:cs="Times New Roman"/>
          <w:szCs w:val="24"/>
        </w:rPr>
      </w:pPr>
      <w:r w:rsidRPr="0058792C">
        <w:rPr>
          <w:rFonts w:cs="Times New Roman"/>
          <w:szCs w:val="24"/>
        </w:rPr>
        <w:t>Cette association des banques fait peau neuve, puisqu’elle est dotée actuellement de prérogatives importantes qui la rend</w:t>
      </w:r>
      <w:r>
        <w:rPr>
          <w:rFonts w:cs="Times New Roman"/>
          <w:szCs w:val="24"/>
        </w:rPr>
        <w:t>e</w:t>
      </w:r>
      <w:r w:rsidRPr="0058792C">
        <w:rPr>
          <w:rFonts w:cs="Times New Roman"/>
          <w:szCs w:val="24"/>
        </w:rPr>
        <w:t>nt incontestable dans toute</w:t>
      </w:r>
      <w:r>
        <w:rPr>
          <w:rFonts w:cs="Times New Roman"/>
          <w:szCs w:val="24"/>
        </w:rPr>
        <w:t>s</w:t>
      </w:r>
      <w:r w:rsidRPr="0058792C">
        <w:rPr>
          <w:rFonts w:cs="Times New Roman"/>
          <w:szCs w:val="24"/>
        </w:rPr>
        <w:t xml:space="preserve"> les questions qui intéressent la profession bancaire.</w:t>
      </w:r>
    </w:p>
    <w:p w:rsidR="001D5E53" w:rsidRPr="0058792C" w:rsidRDefault="001D5E53" w:rsidP="001D5E53">
      <w:pPr>
        <w:rPr>
          <w:rFonts w:cs="Times New Roman"/>
          <w:szCs w:val="24"/>
        </w:rPr>
      </w:pPr>
      <w:r w:rsidRPr="0058792C">
        <w:rPr>
          <w:rFonts w:cs="Times New Roman"/>
          <w:szCs w:val="24"/>
        </w:rPr>
        <w:t>Cette association peut proposer des sanctions à l’encontre des membres qui ne respectent pas les règles.</w:t>
      </w:r>
    </w:p>
    <w:p w:rsidR="001D5E53" w:rsidRPr="0058792C" w:rsidRDefault="001D5E53" w:rsidP="001D5E53">
      <w:r w:rsidRPr="0058792C">
        <w:t>A cet effet, il faudrait établir un code de déontologie pour les banques afin d’éviter toute forme de dérapage professionnelle. Par conséquent, une fonction de déontologie doit être créée auprès des établissements financiers et des banques.</w:t>
      </w:r>
    </w:p>
    <w:p w:rsidR="001D5E53" w:rsidRDefault="001D5E53" w:rsidP="001D5E53">
      <w:pPr>
        <w:rPr>
          <w:rFonts w:cs="Times New Roman"/>
          <w:szCs w:val="24"/>
        </w:rPr>
      </w:pPr>
      <w:r w:rsidRPr="0058792C">
        <w:rPr>
          <w:rFonts w:cs="Times New Roman"/>
          <w:szCs w:val="24"/>
        </w:rPr>
        <w:t xml:space="preserve">Cette fonction de déontologie doit veiller à la conformité des opérations de banque, des relations entre les banques et la clientèle et entre les banques elles-mêmes </w:t>
      </w:r>
      <w:r>
        <w:rPr>
          <w:rFonts w:cs="Times New Roman"/>
          <w:szCs w:val="24"/>
        </w:rPr>
        <w:t>selon</w:t>
      </w:r>
      <w:r w:rsidRPr="0058792C">
        <w:rPr>
          <w:rFonts w:cs="Times New Roman"/>
          <w:szCs w:val="24"/>
        </w:rPr>
        <w:t xml:space="preserve"> les règles en vigueur.</w:t>
      </w:r>
      <w:r w:rsidRPr="0058792C">
        <w:rPr>
          <w:rStyle w:val="Appelnotedebasdep"/>
          <w:rFonts w:cs="Times New Roman"/>
          <w:szCs w:val="24"/>
        </w:rPr>
        <w:footnoteReference w:id="18"/>
      </w:r>
    </w:p>
    <w:p w:rsidR="002964F9" w:rsidRDefault="002964F9" w:rsidP="00597294">
      <w:pPr>
        <w:pStyle w:val="Titre1"/>
        <w:sectPr w:rsidR="002964F9" w:rsidSect="001D03CE">
          <w:headerReference w:type="default" r:id="rId20"/>
          <w:type w:val="oddPage"/>
          <w:pgSz w:w="11906" w:h="16838"/>
          <w:pgMar w:top="1417" w:right="1417" w:bottom="1417" w:left="1417" w:header="708" w:footer="708" w:gutter="0"/>
          <w:cols w:space="708"/>
          <w:docGrid w:linePitch="360"/>
        </w:sectPr>
      </w:pPr>
    </w:p>
    <w:p w:rsidR="001D5E53" w:rsidRPr="00F51A9D" w:rsidRDefault="001D5E53" w:rsidP="00597294">
      <w:pPr>
        <w:pStyle w:val="Titre1"/>
        <w:rPr>
          <w:szCs w:val="24"/>
        </w:rPr>
      </w:pPr>
      <w:bookmarkStart w:id="41" w:name="_Toc431979999"/>
      <w:r w:rsidRPr="0058792C">
        <w:lastRenderedPageBreak/>
        <w:t>Section 02 : La notion de la liquidité</w:t>
      </w:r>
      <w:bookmarkEnd w:id="41"/>
    </w:p>
    <w:p w:rsidR="001D5E53" w:rsidRPr="0058792C" w:rsidRDefault="001D5E53" w:rsidP="001D5E53">
      <w:pPr>
        <w:rPr>
          <w:rFonts w:cs="Times New Roman"/>
          <w:szCs w:val="24"/>
        </w:rPr>
      </w:pPr>
      <w:r w:rsidRPr="0058792C">
        <w:rPr>
          <w:rFonts w:cs="Times New Roman"/>
          <w:szCs w:val="24"/>
        </w:rPr>
        <w:t>La notion de la liquidité est très vaste et englobe plusieurs sens selon le contexte, et son emplacement dans une phrase.</w:t>
      </w:r>
      <w:r w:rsidR="00C208DD">
        <w:rPr>
          <w:rFonts w:cs="Times New Roman"/>
          <w:szCs w:val="24"/>
        </w:rPr>
        <w:t xml:space="preserve"> </w:t>
      </w:r>
      <w:r w:rsidRPr="0058792C">
        <w:rPr>
          <w:rFonts w:cs="Times New Roman"/>
          <w:szCs w:val="24"/>
        </w:rPr>
        <w:t xml:space="preserve">Dans cette seconde section, nous exposerons les différentes définitions relatives à la liquidité pour ensuite </w:t>
      </w:r>
      <w:r>
        <w:rPr>
          <w:rFonts w:cs="Times New Roman"/>
          <w:szCs w:val="24"/>
        </w:rPr>
        <w:t>nous</w:t>
      </w:r>
      <w:r w:rsidRPr="0058792C">
        <w:rPr>
          <w:rFonts w:cs="Times New Roman"/>
          <w:szCs w:val="24"/>
        </w:rPr>
        <w:t xml:space="preserve"> focaliser sur la liquidité bancaire au sens strict.</w:t>
      </w:r>
    </w:p>
    <w:p w:rsidR="001D5E53" w:rsidRDefault="001D5E53" w:rsidP="00D95740">
      <w:pPr>
        <w:pStyle w:val="Titre2"/>
        <w:numPr>
          <w:ilvl w:val="0"/>
          <w:numId w:val="43"/>
        </w:numPr>
      </w:pPr>
      <w:bookmarkStart w:id="42" w:name="_Toc431980000"/>
      <w:r w:rsidRPr="0058792C">
        <w:t>La liquidité au sens large </w:t>
      </w:r>
      <w:bookmarkEnd w:id="42"/>
    </w:p>
    <w:p w:rsidR="001D5E53" w:rsidRPr="00390B1F" w:rsidRDefault="001D5E53" w:rsidP="002334B4">
      <w:pPr>
        <w:rPr>
          <w:rFonts w:cs="Times New Roman"/>
          <w:b/>
          <w:bCs/>
          <w:sz w:val="28"/>
          <w:szCs w:val="28"/>
        </w:rPr>
      </w:pPr>
      <w:r w:rsidRPr="0058792C">
        <w:rPr>
          <w:rFonts w:cs="Times New Roman"/>
          <w:szCs w:val="24"/>
        </w:rPr>
        <w:t xml:space="preserve">Terme économique désignant une somme disponible immédiatement, </w:t>
      </w:r>
      <w:r>
        <w:rPr>
          <w:rFonts w:cs="Times New Roman"/>
          <w:szCs w:val="24"/>
        </w:rPr>
        <w:t>pouvant</w:t>
      </w:r>
      <w:r w:rsidRPr="0058792C">
        <w:rPr>
          <w:rFonts w:cs="Times New Roman"/>
          <w:szCs w:val="24"/>
        </w:rPr>
        <w:t xml:space="preserve"> prendre la forme de pièces et de billets, d'actifs bancaires ou financiers</w:t>
      </w:r>
      <w:r w:rsidR="002334B4">
        <w:rPr>
          <w:rFonts w:cs="Times New Roman"/>
          <w:szCs w:val="24"/>
        </w:rPr>
        <w:t xml:space="preserve"> et susceptibles d’être transformés en espèce (cash) rapidement et sans perte de valeur</w:t>
      </w:r>
      <w:r w:rsidRPr="0058792C">
        <w:rPr>
          <w:rFonts w:cs="Times New Roman"/>
          <w:szCs w:val="24"/>
        </w:rPr>
        <w:t xml:space="preserve">. </w:t>
      </w:r>
    </w:p>
    <w:p w:rsidR="001D5E53" w:rsidRPr="0058792C" w:rsidRDefault="001D5E53" w:rsidP="002334B4">
      <w:pPr>
        <w:spacing w:before="100" w:beforeAutospacing="1" w:after="100" w:afterAutospacing="1"/>
        <w:rPr>
          <w:rFonts w:cs="Times New Roman"/>
          <w:szCs w:val="24"/>
        </w:rPr>
      </w:pPr>
      <w:r w:rsidRPr="0058792C">
        <w:rPr>
          <w:rFonts w:cs="Times New Roman"/>
          <w:szCs w:val="24"/>
        </w:rPr>
        <w:t xml:space="preserve">Dans le cadre de la finance d'entreprise, la liquidité est la capacité d'une entreprise à respecter ses échéances financières </w:t>
      </w:r>
      <w:r w:rsidR="002334B4">
        <w:rPr>
          <w:rFonts w:cs="Times New Roman"/>
          <w:szCs w:val="24"/>
        </w:rPr>
        <w:t xml:space="preserve">à court terme </w:t>
      </w:r>
      <w:r w:rsidRPr="0058792C">
        <w:rPr>
          <w:rFonts w:cs="Times New Roman"/>
          <w:szCs w:val="24"/>
        </w:rPr>
        <w:t xml:space="preserve">dans le cadre de son activité courante, à générer de nouvelles sources de financement, et à conserver l'équilibre entre ses </w:t>
      </w:r>
      <w:r w:rsidR="002334B4">
        <w:rPr>
          <w:rFonts w:cs="Times New Roman"/>
          <w:szCs w:val="24"/>
        </w:rPr>
        <w:t>recettes</w:t>
      </w:r>
      <w:r w:rsidRPr="0058792C">
        <w:rPr>
          <w:rFonts w:cs="Times New Roman"/>
          <w:szCs w:val="24"/>
        </w:rPr>
        <w:t xml:space="preserve"> et ses dépenses. La liquidité dépend fréquemment de l'image de confiance que parvient à renvoyer l'entreprise auprès des investisseurs. </w:t>
      </w:r>
    </w:p>
    <w:p w:rsidR="001D5E53" w:rsidRPr="0058792C" w:rsidRDefault="001D5E53" w:rsidP="00797B93">
      <w:pPr>
        <w:spacing w:before="100" w:beforeAutospacing="1" w:after="100" w:afterAutospacing="1"/>
        <w:rPr>
          <w:rFonts w:cs="Times New Roman"/>
          <w:szCs w:val="24"/>
        </w:rPr>
      </w:pPr>
      <w:r w:rsidRPr="0058792C">
        <w:rPr>
          <w:rFonts w:cs="Times New Roman"/>
          <w:szCs w:val="24"/>
        </w:rPr>
        <w:t xml:space="preserve">Dans le domaine de la finance de marché, la liquidité désigne </w:t>
      </w:r>
      <w:r w:rsidR="00797B93" w:rsidRPr="0058792C">
        <w:rPr>
          <w:rFonts w:cs="Times New Roman"/>
          <w:szCs w:val="24"/>
        </w:rPr>
        <w:t>la capacité d'acheter ou de vendre des actifs financiers</w:t>
      </w:r>
      <w:r w:rsidRPr="0058792C">
        <w:rPr>
          <w:rFonts w:cs="Times New Roman"/>
          <w:szCs w:val="24"/>
        </w:rPr>
        <w:t xml:space="preserve"> (actions, obligations, créances...) en grande quantité, facilement et rapidement sans que les prix n'en soient affectés. La liquidité permet de conserver une certaine stabilité dans les cours des produits financiers.</w:t>
      </w:r>
    </w:p>
    <w:p w:rsidR="001D5E53" w:rsidRPr="0058792C" w:rsidRDefault="001D5E53" w:rsidP="001D5E53">
      <w:pPr>
        <w:autoSpaceDE w:val="0"/>
        <w:autoSpaceDN w:val="0"/>
        <w:adjustRightInd w:val="0"/>
        <w:spacing w:after="0"/>
        <w:rPr>
          <w:rFonts w:cs="Times New Roman"/>
          <w:szCs w:val="24"/>
        </w:rPr>
      </w:pPr>
      <w:r w:rsidRPr="0058792C">
        <w:rPr>
          <w:rFonts w:cs="Times New Roman"/>
          <w:szCs w:val="24"/>
        </w:rPr>
        <w:t xml:space="preserve"> L’une des qualités premières d’un placement, outre sa rentabilité et sa faible exposition au risque, est sa liquidité. Ainsi, plus un marché est liquide, plus il est facile, rapide et peu coûteux d'y réaliser des transactions (achat ou vente) importantes. La liquidité est une fonction essentielle de la bourse pour garantir ainsi aux épargnants la possibilité  de revendre leurs titres. </w:t>
      </w:r>
    </w:p>
    <w:p w:rsidR="001D5E53" w:rsidRPr="0058792C" w:rsidRDefault="001D5E53" w:rsidP="001D5E53">
      <w:pPr>
        <w:autoSpaceDE w:val="0"/>
        <w:autoSpaceDN w:val="0"/>
        <w:adjustRightInd w:val="0"/>
        <w:spacing w:after="0"/>
        <w:rPr>
          <w:rFonts w:cs="Times New Roman"/>
          <w:szCs w:val="24"/>
        </w:rPr>
      </w:pPr>
      <w:r w:rsidRPr="0058792C">
        <w:rPr>
          <w:rFonts w:cs="Times New Roman"/>
          <w:szCs w:val="24"/>
        </w:rPr>
        <w:t xml:space="preserve">Les marchés peuvent être parfois </w:t>
      </w:r>
      <w:proofErr w:type="spellStart"/>
      <w:r w:rsidRPr="0058792C">
        <w:rPr>
          <w:rFonts w:cs="Times New Roman"/>
          <w:szCs w:val="24"/>
        </w:rPr>
        <w:t>illiquides</w:t>
      </w:r>
      <w:proofErr w:type="spellEnd"/>
      <w:r w:rsidRPr="0058792C">
        <w:rPr>
          <w:rFonts w:cs="Times New Roman"/>
          <w:szCs w:val="24"/>
        </w:rPr>
        <w:t xml:space="preserve"> du fait d’un fort déséquilibre entre offre et demande. </w:t>
      </w:r>
    </w:p>
    <w:p w:rsidR="001D5E53" w:rsidRPr="0058792C" w:rsidRDefault="001D5E53" w:rsidP="00D95740">
      <w:pPr>
        <w:pStyle w:val="Titre2"/>
        <w:numPr>
          <w:ilvl w:val="0"/>
          <w:numId w:val="43"/>
        </w:numPr>
      </w:pPr>
      <w:bookmarkStart w:id="43" w:name="_Toc431980001"/>
      <w:r w:rsidRPr="0058792C">
        <w:t xml:space="preserve"> La liquidité de l’économie </w:t>
      </w:r>
      <w:bookmarkEnd w:id="43"/>
    </w:p>
    <w:p w:rsidR="001D5E53" w:rsidRPr="0058792C" w:rsidRDefault="001D5E53" w:rsidP="001D5E53">
      <w:pPr>
        <w:rPr>
          <w:rFonts w:cs="Times New Roman"/>
          <w:szCs w:val="24"/>
        </w:rPr>
      </w:pPr>
      <w:r w:rsidRPr="0058792C">
        <w:rPr>
          <w:rFonts w:cs="Times New Roman"/>
          <w:szCs w:val="24"/>
        </w:rPr>
        <w:t>La liquidité de l'économie est un concept moins précis que la liquidité des actifs et la liquidité des banques. En effet, il n'y a pas une mais plusieurs mesures possibles de la liquidité de l'économie</w:t>
      </w:r>
      <w:r>
        <w:rPr>
          <w:rFonts w:cs="Times New Roman"/>
          <w:szCs w:val="24"/>
        </w:rPr>
        <w:t>.</w:t>
      </w:r>
      <w:r w:rsidRPr="0058792C">
        <w:rPr>
          <w:rFonts w:cs="Times New Roman"/>
          <w:szCs w:val="24"/>
        </w:rPr>
        <w:t xml:space="preserve"> Toutefois, la liquidité de l'économie, est généralement appréhendée à travers </w:t>
      </w:r>
      <w:r w:rsidRPr="0058792C">
        <w:rPr>
          <w:rFonts w:cs="Times New Roman"/>
          <w:szCs w:val="24"/>
        </w:rPr>
        <w:lastRenderedPageBreak/>
        <w:t>les agrégats de la partie monétaire du patrimoine des agents économiques encore appelés agrégats monétaires.</w:t>
      </w:r>
      <w:r w:rsidRPr="0058792C">
        <w:rPr>
          <w:rStyle w:val="Appelnotedebasdep"/>
          <w:rFonts w:cs="Times New Roman"/>
          <w:szCs w:val="24"/>
        </w:rPr>
        <w:footnoteReference w:id="19"/>
      </w:r>
    </w:p>
    <w:p w:rsidR="001D5E53" w:rsidRPr="0058792C" w:rsidRDefault="001D5E53" w:rsidP="00D95740">
      <w:pPr>
        <w:pStyle w:val="Titre2"/>
        <w:numPr>
          <w:ilvl w:val="0"/>
          <w:numId w:val="43"/>
        </w:numPr>
      </w:pPr>
      <w:bookmarkStart w:id="44" w:name="_Toc431980002"/>
      <w:r w:rsidRPr="0058792C">
        <w:t xml:space="preserve"> La liquidité bancaire </w:t>
      </w:r>
      <w:bookmarkEnd w:id="44"/>
    </w:p>
    <w:p w:rsidR="001D5E53" w:rsidRPr="0058792C" w:rsidRDefault="001D5E53" w:rsidP="001D5E53">
      <w:pPr>
        <w:rPr>
          <w:rFonts w:cs="Times New Roman"/>
          <w:szCs w:val="24"/>
        </w:rPr>
      </w:pPr>
      <w:r w:rsidRPr="0058792C">
        <w:rPr>
          <w:rFonts w:cs="Times New Roman"/>
          <w:szCs w:val="24"/>
        </w:rPr>
        <w:t>En économie</w:t>
      </w:r>
      <w:r>
        <w:rPr>
          <w:rFonts w:cs="Times New Roman"/>
          <w:szCs w:val="24"/>
        </w:rPr>
        <w:t>,</w:t>
      </w:r>
      <w:r w:rsidRPr="0058792C">
        <w:rPr>
          <w:rFonts w:cs="Times New Roman"/>
          <w:szCs w:val="24"/>
        </w:rPr>
        <w:t xml:space="preserve"> un bien est dit liquide s’il peut à tout moment être transformé en monnaie sans perte de valeur. C’est</w:t>
      </w:r>
      <w:r>
        <w:rPr>
          <w:rFonts w:cs="Times New Roman"/>
          <w:szCs w:val="24"/>
        </w:rPr>
        <w:t>-</w:t>
      </w:r>
      <w:r w:rsidRPr="0058792C">
        <w:rPr>
          <w:rFonts w:cs="Times New Roman"/>
          <w:szCs w:val="24"/>
        </w:rPr>
        <w:t>à</w:t>
      </w:r>
      <w:r>
        <w:rPr>
          <w:rFonts w:cs="Times New Roman"/>
          <w:szCs w:val="24"/>
        </w:rPr>
        <w:t>-</w:t>
      </w:r>
      <w:r w:rsidRPr="0058792C">
        <w:rPr>
          <w:rFonts w:cs="Times New Roman"/>
          <w:szCs w:val="24"/>
        </w:rPr>
        <w:t>dire qu’il p</w:t>
      </w:r>
      <w:r>
        <w:rPr>
          <w:rFonts w:cs="Times New Roman"/>
          <w:szCs w:val="24"/>
        </w:rPr>
        <w:t>e</w:t>
      </w:r>
      <w:r w:rsidRPr="0058792C">
        <w:rPr>
          <w:rFonts w:cs="Times New Roman"/>
          <w:szCs w:val="24"/>
        </w:rPr>
        <w:t>ut être négocié dans un délai très bref.</w:t>
      </w:r>
      <w:r w:rsidR="005F0348">
        <w:rPr>
          <w:rFonts w:cs="Times New Roman"/>
          <w:szCs w:val="24"/>
        </w:rPr>
        <w:t xml:space="preserve"> </w:t>
      </w:r>
      <w:r w:rsidRPr="0058792C">
        <w:rPr>
          <w:rFonts w:cs="Times New Roman"/>
          <w:szCs w:val="24"/>
        </w:rPr>
        <w:t xml:space="preserve">« La liquidité de la banque recouvre </w:t>
      </w:r>
      <w:r>
        <w:rPr>
          <w:rFonts w:cs="Times New Roman"/>
          <w:szCs w:val="24"/>
        </w:rPr>
        <w:t>s</w:t>
      </w:r>
      <w:r w:rsidRPr="0058792C">
        <w:rPr>
          <w:rFonts w:cs="Times New Roman"/>
          <w:szCs w:val="24"/>
        </w:rPr>
        <w:t xml:space="preserve">es disponibilités en monnaie centrale, soit : le montant de son compte courant créditeur à la banque centrale, </w:t>
      </w:r>
      <w:r>
        <w:rPr>
          <w:rFonts w:cs="Times New Roman"/>
          <w:szCs w:val="24"/>
        </w:rPr>
        <w:t>les billets en caisse,</w:t>
      </w:r>
      <w:r w:rsidRPr="0058792C">
        <w:rPr>
          <w:rFonts w:cs="Times New Roman"/>
          <w:szCs w:val="24"/>
        </w:rPr>
        <w:t xml:space="preserve"> le montant de ses comptes courants créditeurs dans </w:t>
      </w:r>
      <w:r w:rsidRPr="00F178AC">
        <w:rPr>
          <w:rFonts w:cs="Times New Roman"/>
          <w:szCs w:val="24"/>
        </w:rPr>
        <w:t xml:space="preserve">d’autres banques </w:t>
      </w:r>
      <w:r>
        <w:rPr>
          <w:rFonts w:cs="Times New Roman"/>
          <w:szCs w:val="24"/>
        </w:rPr>
        <w:t>et les</w:t>
      </w:r>
      <w:r w:rsidRPr="0058792C">
        <w:rPr>
          <w:rFonts w:cs="Times New Roman"/>
          <w:szCs w:val="24"/>
        </w:rPr>
        <w:t xml:space="preserve"> comptes-courants postaux (CCP), dont elle peut toujours exiger la contrepartie en monnaie centrale.</w:t>
      </w:r>
      <w:r w:rsidR="00C208DD">
        <w:rPr>
          <w:rFonts w:cs="Times New Roman"/>
          <w:szCs w:val="24"/>
        </w:rPr>
        <w:t xml:space="preserve"> </w:t>
      </w:r>
      <w:r w:rsidRPr="0058792C">
        <w:rPr>
          <w:rFonts w:cs="Times New Roman"/>
          <w:szCs w:val="24"/>
        </w:rPr>
        <w:t>La liquidité bancaire comprend tous ces éléments moins les comptes-courants bancaires, qui s’annulent pour</w:t>
      </w:r>
      <w:r>
        <w:rPr>
          <w:rFonts w:cs="Times New Roman"/>
          <w:szCs w:val="24"/>
        </w:rPr>
        <w:t xml:space="preserve"> l’ensemble agrégé des banques ».</w:t>
      </w:r>
      <w:r>
        <w:rPr>
          <w:rStyle w:val="Appelnotedebasdep"/>
          <w:rFonts w:cs="Times New Roman"/>
          <w:szCs w:val="24"/>
        </w:rPr>
        <w:footnoteReference w:id="20"/>
      </w:r>
    </w:p>
    <w:p w:rsidR="001D5E53" w:rsidRPr="0058792C" w:rsidRDefault="001D5E53" w:rsidP="001D5E53">
      <w:pPr>
        <w:rPr>
          <w:rFonts w:cs="Times New Roman"/>
          <w:szCs w:val="24"/>
        </w:rPr>
      </w:pPr>
      <w:r>
        <w:rPr>
          <w:rFonts w:cs="Times New Roman"/>
          <w:szCs w:val="24"/>
        </w:rPr>
        <w:t>FERRAND</w:t>
      </w:r>
      <w:r w:rsidR="005F0348">
        <w:rPr>
          <w:rFonts w:cs="Times New Roman"/>
          <w:szCs w:val="24"/>
        </w:rPr>
        <w:t>IER et KOEN.V</w:t>
      </w:r>
      <w:r>
        <w:rPr>
          <w:rStyle w:val="Appelnotedebasdep"/>
          <w:rFonts w:cs="Times New Roman"/>
          <w:szCs w:val="24"/>
        </w:rPr>
        <w:footnoteReference w:id="21"/>
      </w:r>
      <w:r w:rsidRPr="0058792C">
        <w:rPr>
          <w:rFonts w:cs="Times New Roman"/>
          <w:szCs w:val="24"/>
        </w:rPr>
        <w:t>distinguent la liquidité bancaire en « immédiate » et « potentielle ».</w:t>
      </w:r>
    </w:p>
    <w:p w:rsidR="001D5E53" w:rsidRPr="0058792C" w:rsidRDefault="001D5E53" w:rsidP="001D5E53">
      <w:pPr>
        <w:rPr>
          <w:rFonts w:cs="Times New Roman"/>
          <w:szCs w:val="24"/>
        </w:rPr>
      </w:pPr>
      <w:r w:rsidRPr="0058792C">
        <w:rPr>
          <w:rFonts w:cs="Times New Roman"/>
          <w:szCs w:val="24"/>
        </w:rPr>
        <w:t xml:space="preserve">La liquidité bancaire immédiate représente le poste intitulé « réserves » qui se trouvent au passif </w:t>
      </w:r>
      <w:r>
        <w:rPr>
          <w:rFonts w:cs="Times New Roman"/>
          <w:szCs w:val="24"/>
        </w:rPr>
        <w:t xml:space="preserve">du bilan de la Banque Centrale. Un autre </w:t>
      </w:r>
      <w:r w:rsidRPr="00F178AC">
        <w:rPr>
          <w:rFonts w:cs="Times New Roman"/>
          <w:szCs w:val="24"/>
        </w:rPr>
        <w:t>poste du passif</w:t>
      </w:r>
      <w:r w:rsidRPr="0058792C">
        <w:rPr>
          <w:rFonts w:cs="Times New Roman"/>
          <w:szCs w:val="24"/>
        </w:rPr>
        <w:t xml:space="preserve"> de la Banque Centrale recense les billets mis en circulation par celle-ci. C</w:t>
      </w:r>
      <w:r>
        <w:rPr>
          <w:rFonts w:cs="Times New Roman"/>
          <w:szCs w:val="24"/>
        </w:rPr>
        <w:t>e</w:t>
      </w:r>
      <w:r w:rsidRPr="0058792C">
        <w:rPr>
          <w:rFonts w:cs="Times New Roman"/>
          <w:szCs w:val="24"/>
        </w:rPr>
        <w:t>s deux types de monnaie</w:t>
      </w:r>
      <w:r>
        <w:rPr>
          <w:rFonts w:cs="Times New Roman"/>
          <w:szCs w:val="24"/>
        </w:rPr>
        <w:t>s</w:t>
      </w:r>
      <w:r w:rsidR="005F0348">
        <w:rPr>
          <w:rFonts w:cs="Times New Roman"/>
          <w:szCs w:val="24"/>
        </w:rPr>
        <w:t xml:space="preserve"> </w:t>
      </w:r>
      <w:r>
        <w:rPr>
          <w:rFonts w:cs="Times New Roman"/>
          <w:szCs w:val="24"/>
        </w:rPr>
        <w:t>sont</w:t>
      </w:r>
      <w:r w:rsidR="005F0348">
        <w:rPr>
          <w:rFonts w:cs="Times New Roman"/>
          <w:szCs w:val="24"/>
        </w:rPr>
        <w:t xml:space="preserve"> </w:t>
      </w:r>
      <w:r w:rsidRPr="0058792C">
        <w:rPr>
          <w:rFonts w:cs="Times New Roman"/>
          <w:szCs w:val="24"/>
        </w:rPr>
        <w:t>émise</w:t>
      </w:r>
      <w:r>
        <w:rPr>
          <w:rFonts w:cs="Times New Roman"/>
          <w:szCs w:val="24"/>
        </w:rPr>
        <w:t>s</w:t>
      </w:r>
      <w:r w:rsidRPr="0058792C">
        <w:rPr>
          <w:rFonts w:cs="Times New Roman"/>
          <w:szCs w:val="24"/>
        </w:rPr>
        <w:t xml:space="preserve"> par cette dernière forment la base monétaire (monnaie centrale).</w:t>
      </w:r>
    </w:p>
    <w:p w:rsidR="001D5E53" w:rsidRDefault="001D5E53" w:rsidP="001D5E53">
      <w:pPr>
        <w:rPr>
          <w:rFonts w:cs="Times New Roman"/>
          <w:szCs w:val="24"/>
        </w:rPr>
      </w:pPr>
      <w:r w:rsidRPr="0058792C">
        <w:rPr>
          <w:rFonts w:cs="Times New Roman"/>
          <w:szCs w:val="24"/>
        </w:rPr>
        <w:t>Le tableau qui suit est un compte qui schématise le bilan d’une banque centrale et le passif de ce bilan représente la base monétaire.</w:t>
      </w:r>
      <w:r w:rsidRPr="0058792C">
        <w:rPr>
          <w:rStyle w:val="Appelnotedebasdep"/>
          <w:rFonts w:cs="Times New Roman"/>
          <w:szCs w:val="24"/>
        </w:rPr>
        <w:footnoteReference w:id="22"/>
      </w:r>
    </w:p>
    <w:p w:rsidR="002964F9" w:rsidRDefault="002964F9" w:rsidP="001D5E53">
      <w:pPr>
        <w:rPr>
          <w:rFonts w:cs="Times New Roman"/>
          <w:b/>
          <w:bCs/>
          <w:sz w:val="28"/>
          <w:szCs w:val="28"/>
        </w:rPr>
      </w:pPr>
    </w:p>
    <w:p w:rsidR="002964F9" w:rsidRDefault="002964F9" w:rsidP="001D5E53">
      <w:pPr>
        <w:rPr>
          <w:rFonts w:cs="Times New Roman"/>
          <w:b/>
          <w:bCs/>
          <w:sz w:val="28"/>
          <w:szCs w:val="28"/>
        </w:rPr>
      </w:pPr>
    </w:p>
    <w:p w:rsidR="002964F9" w:rsidRDefault="002964F9" w:rsidP="001D5E53">
      <w:pPr>
        <w:rPr>
          <w:rFonts w:cs="Times New Roman"/>
          <w:b/>
          <w:bCs/>
          <w:sz w:val="28"/>
          <w:szCs w:val="28"/>
        </w:rPr>
      </w:pPr>
    </w:p>
    <w:p w:rsidR="00757D25" w:rsidRDefault="00757D25" w:rsidP="001D5E53">
      <w:pPr>
        <w:rPr>
          <w:rFonts w:cs="Times New Roman"/>
          <w:b/>
          <w:bCs/>
          <w:sz w:val="28"/>
          <w:szCs w:val="28"/>
        </w:rPr>
      </w:pPr>
    </w:p>
    <w:p w:rsidR="006D4521" w:rsidRPr="006D4521" w:rsidRDefault="006D4521" w:rsidP="001D5E53">
      <w:pPr>
        <w:rPr>
          <w:rFonts w:cs="Times New Roman"/>
          <w:b/>
          <w:bCs/>
          <w:sz w:val="28"/>
          <w:szCs w:val="28"/>
        </w:rPr>
      </w:pPr>
      <w:r w:rsidRPr="006D4521">
        <w:rPr>
          <w:rFonts w:cs="Times New Roman"/>
          <w:b/>
          <w:bCs/>
          <w:sz w:val="28"/>
          <w:szCs w:val="28"/>
        </w:rPr>
        <w:lastRenderedPageBreak/>
        <w:t>Tableau N°1 : Bilan de la Banque Centrale</w:t>
      </w:r>
    </w:p>
    <w:p w:rsidR="001D5E53" w:rsidRPr="001A3E53" w:rsidRDefault="00085BD6" w:rsidP="00C05CEC">
      <w:pPr>
        <w:autoSpaceDE w:val="0"/>
        <w:autoSpaceDN w:val="0"/>
        <w:adjustRightInd w:val="0"/>
        <w:spacing w:line="276" w:lineRule="auto"/>
        <w:ind w:firstLine="0"/>
        <w:rPr>
          <w:rFonts w:cs="Times New Roman"/>
          <w:color w:val="000000"/>
          <w:sz w:val="36"/>
          <w:szCs w:val="36"/>
        </w:rPr>
      </w:pPr>
      <w:r>
        <w:rPr>
          <w:rFonts w:cs="Times New Roman"/>
          <w:noProof/>
          <w:sz w:val="28"/>
          <w:szCs w:val="28"/>
        </w:rPr>
        <w:drawing>
          <wp:inline distT="0" distB="0" distL="0" distR="0" wp14:anchorId="201AB9D4" wp14:editId="3C57BE93">
            <wp:extent cx="5730875" cy="1552575"/>
            <wp:effectExtent l="0" t="0" r="3175" b="9525"/>
            <wp:docPr id="5" name="Image 5" descr="C:\Users\compta2014\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compta2014\Desktop\Capture.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0875" cy="1552575"/>
                    </a:xfrm>
                    <a:prstGeom prst="rect">
                      <a:avLst/>
                    </a:prstGeom>
                    <a:noFill/>
                    <a:ln>
                      <a:noFill/>
                    </a:ln>
                  </pic:spPr>
                </pic:pic>
              </a:graphicData>
            </a:graphic>
          </wp:inline>
        </w:drawing>
      </w:r>
    </w:p>
    <w:p w:rsidR="002964F9" w:rsidRDefault="006D4521" w:rsidP="006517B5">
      <w:pPr>
        <w:spacing w:before="0" w:after="0" w:line="240" w:lineRule="auto"/>
        <w:ind w:firstLine="0"/>
        <w:rPr>
          <w:rFonts w:cs="Times New Roman"/>
          <w:szCs w:val="24"/>
        </w:rPr>
      </w:pPr>
      <w:r>
        <w:rPr>
          <w:rFonts w:cs="Times New Roman"/>
          <w:color w:val="000000"/>
          <w:sz w:val="20"/>
          <w:szCs w:val="20"/>
        </w:rPr>
        <w:t>Source :</w:t>
      </w:r>
      <w:r w:rsidR="00757D25">
        <w:rPr>
          <w:rFonts w:cs="Times New Roman"/>
          <w:color w:val="000000"/>
          <w:sz w:val="20"/>
          <w:szCs w:val="20"/>
        </w:rPr>
        <w:t xml:space="preserve"> </w:t>
      </w:r>
      <w:r w:rsidR="002334B4" w:rsidRPr="00807890">
        <w:rPr>
          <w:rFonts w:cs="Times New Roman"/>
          <w:color w:val="000000"/>
          <w:sz w:val="18"/>
          <w:szCs w:val="18"/>
        </w:rPr>
        <w:t xml:space="preserve">MISHKIN </w:t>
      </w:r>
      <w:proofErr w:type="spellStart"/>
      <w:r w:rsidR="002334B4" w:rsidRPr="00807890">
        <w:rPr>
          <w:rFonts w:cs="Times New Roman"/>
          <w:color w:val="000000"/>
          <w:sz w:val="18"/>
          <w:szCs w:val="18"/>
        </w:rPr>
        <w:t>Frederic</w:t>
      </w:r>
      <w:proofErr w:type="spellEnd"/>
      <w:r w:rsidR="002334B4" w:rsidRPr="00807890">
        <w:rPr>
          <w:rFonts w:cs="Times New Roman"/>
          <w:color w:val="000000"/>
          <w:sz w:val="18"/>
          <w:szCs w:val="18"/>
        </w:rPr>
        <w:t>, Monnaie, banque et marché financier, édition</w:t>
      </w:r>
      <w:r w:rsidR="00A17A01">
        <w:rPr>
          <w:rFonts w:cs="Times New Roman"/>
          <w:color w:val="000000"/>
          <w:sz w:val="18"/>
          <w:szCs w:val="18"/>
        </w:rPr>
        <w:t xml:space="preserve"> Amazone</w:t>
      </w:r>
      <w:r w:rsidR="002334B4" w:rsidRPr="00807890">
        <w:rPr>
          <w:rFonts w:cs="Times New Roman"/>
          <w:color w:val="000000"/>
          <w:sz w:val="18"/>
          <w:szCs w:val="18"/>
        </w:rPr>
        <w:t>, Pearson Education, 2004, P 450.</w:t>
      </w:r>
    </w:p>
    <w:p w:rsidR="001D5E53" w:rsidRPr="0058792C" w:rsidRDefault="001D5E53" w:rsidP="001D5E53">
      <w:pPr>
        <w:rPr>
          <w:rFonts w:cs="Times New Roman"/>
          <w:szCs w:val="24"/>
        </w:rPr>
      </w:pPr>
      <w:r w:rsidRPr="0058792C">
        <w:rPr>
          <w:rFonts w:cs="Times New Roman"/>
          <w:szCs w:val="24"/>
        </w:rPr>
        <w:t>La liquidité bancaire potenti</w:t>
      </w:r>
      <w:r>
        <w:rPr>
          <w:rFonts w:cs="Times New Roman"/>
          <w:szCs w:val="24"/>
        </w:rPr>
        <w:t>e</w:t>
      </w:r>
      <w:r w:rsidRPr="0058792C">
        <w:rPr>
          <w:rFonts w:cs="Times New Roman"/>
          <w:szCs w:val="24"/>
        </w:rPr>
        <w:t>lle correspond à l’ensemble des actifs mobilisables a</w:t>
      </w:r>
      <w:r>
        <w:rPr>
          <w:rFonts w:cs="Times New Roman"/>
          <w:szCs w:val="24"/>
        </w:rPr>
        <w:t>uprès de l’institut d’émission. S</w:t>
      </w:r>
      <w:r w:rsidRPr="0058792C">
        <w:rPr>
          <w:rFonts w:cs="Times New Roman"/>
          <w:szCs w:val="24"/>
        </w:rPr>
        <w:t>elon</w:t>
      </w:r>
      <w:r>
        <w:rPr>
          <w:rFonts w:cs="Times New Roman"/>
          <w:szCs w:val="24"/>
        </w:rPr>
        <w:t xml:space="preserve"> l’explication de M.BEZIADE, cité par POULON</w:t>
      </w:r>
      <w:r>
        <w:rPr>
          <w:rStyle w:val="Appelnotedebasdep"/>
          <w:rFonts w:cs="Times New Roman"/>
          <w:szCs w:val="24"/>
        </w:rPr>
        <w:footnoteReference w:id="23"/>
      </w:r>
      <w:r w:rsidRPr="0058792C">
        <w:rPr>
          <w:rFonts w:cs="Times New Roman"/>
          <w:szCs w:val="24"/>
        </w:rPr>
        <w:t xml:space="preserve">, la liquidité bancaire </w:t>
      </w:r>
      <w:r>
        <w:rPr>
          <w:rFonts w:cs="Times New Roman"/>
          <w:szCs w:val="24"/>
        </w:rPr>
        <w:t>e</w:t>
      </w:r>
      <w:r w:rsidRPr="0058792C">
        <w:rPr>
          <w:rFonts w:cs="Times New Roman"/>
          <w:szCs w:val="24"/>
        </w:rPr>
        <w:t>st d’abord la somme des liquidités des banques. Elle apparaît donc comme</w:t>
      </w:r>
      <w:r>
        <w:rPr>
          <w:rFonts w:cs="Times New Roman"/>
          <w:szCs w:val="24"/>
        </w:rPr>
        <w:t xml:space="preserve"> étant</w:t>
      </w:r>
      <w:r w:rsidRPr="0058792C">
        <w:rPr>
          <w:rFonts w:cs="Times New Roman"/>
          <w:szCs w:val="24"/>
        </w:rPr>
        <w:t xml:space="preserve"> la somme des encaisses de ces banques.</w:t>
      </w:r>
    </w:p>
    <w:p w:rsidR="002964F9" w:rsidRDefault="002964F9" w:rsidP="002964F9">
      <w:pPr>
        <w:pStyle w:val="Titre2"/>
      </w:pPr>
    </w:p>
    <w:p w:rsidR="002964F9" w:rsidRPr="0058792C" w:rsidRDefault="002334B4" w:rsidP="002964F9">
      <w:pPr>
        <w:pStyle w:val="Titre2"/>
      </w:pPr>
      <w:bookmarkStart w:id="45" w:name="_Toc431980003"/>
      <w:r>
        <w:t xml:space="preserve">3.1  </w:t>
      </w:r>
      <w:r w:rsidR="002964F9" w:rsidRPr="0058792C">
        <w:t>Présentation du bilan de la banque </w:t>
      </w:r>
      <w:bookmarkEnd w:id="45"/>
    </w:p>
    <w:p w:rsidR="002964F9" w:rsidRPr="0058792C" w:rsidRDefault="002964F9" w:rsidP="002964F9">
      <w:pPr>
        <w:rPr>
          <w:rFonts w:cs="Times New Roman"/>
          <w:szCs w:val="24"/>
        </w:rPr>
      </w:pPr>
      <w:r w:rsidRPr="0058792C">
        <w:rPr>
          <w:rFonts w:cs="Times New Roman"/>
          <w:szCs w:val="24"/>
        </w:rPr>
        <w:t xml:space="preserve"> Le degré de liquidité bancaire est indiqué dans le bilan bancaire par l’échéance des éléments d’actifs. Ceci permet à la banque de faire face à ses engagements à court terme et d’honorer les retraits ou encore de satisfaire ses légitimes demandes de crédits. En général, elle doit assurer la concordance des termes de ses emplois et ressources. </w:t>
      </w:r>
    </w:p>
    <w:p w:rsidR="002334B4" w:rsidRDefault="002334B4" w:rsidP="002964F9">
      <w:pPr>
        <w:ind w:firstLine="0"/>
        <w:rPr>
          <w:rFonts w:cs="Times New Roman"/>
          <w:b/>
          <w:bCs/>
          <w:szCs w:val="24"/>
        </w:rPr>
      </w:pPr>
    </w:p>
    <w:p w:rsidR="002334B4" w:rsidRDefault="002334B4" w:rsidP="002964F9">
      <w:pPr>
        <w:ind w:firstLine="0"/>
        <w:rPr>
          <w:rFonts w:cs="Times New Roman"/>
          <w:b/>
          <w:bCs/>
          <w:szCs w:val="24"/>
        </w:rPr>
      </w:pPr>
    </w:p>
    <w:p w:rsidR="002334B4" w:rsidRDefault="002334B4" w:rsidP="002964F9">
      <w:pPr>
        <w:ind w:firstLine="0"/>
        <w:rPr>
          <w:rFonts w:cs="Times New Roman"/>
          <w:b/>
          <w:bCs/>
          <w:szCs w:val="24"/>
        </w:rPr>
      </w:pPr>
    </w:p>
    <w:p w:rsidR="002334B4" w:rsidRDefault="002334B4" w:rsidP="002964F9">
      <w:pPr>
        <w:ind w:firstLine="0"/>
        <w:rPr>
          <w:rFonts w:cs="Times New Roman"/>
          <w:b/>
          <w:bCs/>
          <w:szCs w:val="24"/>
        </w:rPr>
      </w:pPr>
    </w:p>
    <w:p w:rsidR="002334B4" w:rsidRDefault="002334B4" w:rsidP="002964F9">
      <w:pPr>
        <w:ind w:firstLine="0"/>
        <w:rPr>
          <w:rFonts w:cs="Times New Roman"/>
          <w:b/>
          <w:bCs/>
          <w:szCs w:val="24"/>
        </w:rPr>
      </w:pPr>
    </w:p>
    <w:p w:rsidR="002334B4" w:rsidRDefault="002334B4" w:rsidP="002964F9">
      <w:pPr>
        <w:ind w:firstLine="0"/>
        <w:rPr>
          <w:rFonts w:cs="Times New Roman"/>
          <w:b/>
          <w:bCs/>
          <w:szCs w:val="24"/>
        </w:rPr>
      </w:pPr>
    </w:p>
    <w:p w:rsidR="002334B4" w:rsidRDefault="002334B4" w:rsidP="002964F9">
      <w:pPr>
        <w:ind w:firstLine="0"/>
        <w:rPr>
          <w:rFonts w:cs="Times New Roman"/>
          <w:b/>
          <w:bCs/>
          <w:szCs w:val="24"/>
        </w:rPr>
      </w:pPr>
    </w:p>
    <w:p w:rsidR="002334B4" w:rsidRDefault="002334B4" w:rsidP="002964F9">
      <w:pPr>
        <w:ind w:firstLine="0"/>
        <w:rPr>
          <w:rFonts w:cs="Times New Roman"/>
          <w:b/>
          <w:bCs/>
          <w:szCs w:val="24"/>
        </w:rPr>
      </w:pPr>
    </w:p>
    <w:p w:rsidR="002334B4" w:rsidRDefault="002334B4" w:rsidP="002964F9">
      <w:pPr>
        <w:ind w:firstLine="0"/>
        <w:rPr>
          <w:rFonts w:cs="Times New Roman"/>
          <w:b/>
          <w:bCs/>
          <w:szCs w:val="24"/>
        </w:rPr>
      </w:pPr>
    </w:p>
    <w:p w:rsidR="002334B4" w:rsidRDefault="002334B4" w:rsidP="002964F9">
      <w:pPr>
        <w:ind w:firstLine="0"/>
        <w:rPr>
          <w:rFonts w:cs="Times New Roman"/>
          <w:b/>
          <w:bCs/>
          <w:szCs w:val="24"/>
        </w:rPr>
      </w:pPr>
    </w:p>
    <w:p w:rsidR="002964F9" w:rsidRDefault="002964F9" w:rsidP="002964F9">
      <w:pPr>
        <w:ind w:firstLine="0"/>
        <w:rPr>
          <w:rFonts w:cs="Times New Roman"/>
          <w:szCs w:val="24"/>
        </w:rPr>
      </w:pPr>
      <w:r w:rsidRPr="0058792C">
        <w:rPr>
          <w:rFonts w:cs="Times New Roman"/>
          <w:b/>
          <w:bCs/>
          <w:szCs w:val="24"/>
        </w:rPr>
        <w:t>Tableau n°2 : Le bilan de la banque</w:t>
      </w:r>
      <w:r>
        <w:rPr>
          <w:rFonts w:cs="Times New Roman"/>
          <w:b/>
          <w:bCs/>
          <w:szCs w:val="24"/>
        </w:rPr>
        <w:t xml:space="preserve">. </w:t>
      </w:r>
    </w:p>
    <w:tbl>
      <w:tblPr>
        <w:tblW w:w="9754" w:type="dxa"/>
        <w:tblInd w:w="70" w:type="dxa"/>
        <w:tblCellMar>
          <w:left w:w="70" w:type="dxa"/>
          <w:right w:w="70" w:type="dxa"/>
        </w:tblCellMar>
        <w:tblLook w:val="00A0" w:firstRow="1" w:lastRow="0" w:firstColumn="1" w:lastColumn="0" w:noHBand="0" w:noVBand="0"/>
      </w:tblPr>
      <w:tblGrid>
        <w:gridCol w:w="3622"/>
        <w:gridCol w:w="465"/>
        <w:gridCol w:w="629"/>
        <w:gridCol w:w="3297"/>
        <w:gridCol w:w="821"/>
        <w:gridCol w:w="920"/>
      </w:tblGrid>
      <w:tr w:rsidR="002964F9" w:rsidRPr="00807890" w:rsidTr="002964F9">
        <w:trPr>
          <w:trHeight w:val="249"/>
        </w:trPr>
        <w:tc>
          <w:tcPr>
            <w:tcW w:w="9754" w:type="dxa"/>
            <w:gridSpan w:val="6"/>
            <w:tcBorders>
              <w:top w:val="single" w:sz="4" w:space="0" w:color="auto"/>
              <w:left w:val="single" w:sz="4" w:space="0" w:color="auto"/>
              <w:bottom w:val="single" w:sz="4" w:space="0" w:color="auto"/>
              <w:right w:val="single" w:sz="4" w:space="0" w:color="000000"/>
            </w:tcBorders>
            <w:noWrap/>
            <w:vAlign w:val="center"/>
          </w:tcPr>
          <w:p w:rsidR="002964F9" w:rsidRPr="00807890" w:rsidRDefault="002964F9" w:rsidP="002964F9">
            <w:pPr>
              <w:spacing w:before="0" w:after="0" w:line="240" w:lineRule="auto"/>
              <w:ind w:firstLine="0"/>
              <w:rPr>
                <w:rFonts w:cs="Times New Roman"/>
                <w:b/>
                <w:bCs/>
                <w:color w:val="000000"/>
              </w:rPr>
            </w:pPr>
            <w:r w:rsidRPr="00807890">
              <w:rPr>
                <w:rFonts w:cs="Times New Roman"/>
                <w:b/>
                <w:bCs/>
                <w:color w:val="000000"/>
                <w:sz w:val="22"/>
              </w:rPr>
              <w:t>BILAN DE BANQUE</w:t>
            </w:r>
          </w:p>
        </w:tc>
      </w:tr>
      <w:tr w:rsidR="002964F9" w:rsidRPr="00807890" w:rsidTr="002964F9">
        <w:trPr>
          <w:trHeight w:val="256"/>
        </w:trPr>
        <w:tc>
          <w:tcPr>
            <w:tcW w:w="3622" w:type="dxa"/>
            <w:tcBorders>
              <w:top w:val="nil"/>
              <w:left w:val="single" w:sz="4" w:space="0" w:color="auto"/>
              <w:bottom w:val="single" w:sz="4" w:space="0" w:color="auto"/>
              <w:right w:val="single" w:sz="4" w:space="0" w:color="auto"/>
            </w:tcBorders>
            <w:noWrap/>
            <w:vAlign w:val="center"/>
          </w:tcPr>
          <w:p w:rsidR="002964F9" w:rsidRPr="00807890" w:rsidRDefault="002964F9" w:rsidP="002964F9">
            <w:pPr>
              <w:spacing w:before="0" w:after="0" w:line="240" w:lineRule="auto"/>
              <w:ind w:firstLine="0"/>
              <w:rPr>
                <w:rFonts w:cs="Times New Roman"/>
                <w:b/>
                <w:bCs/>
                <w:color w:val="000000"/>
              </w:rPr>
            </w:pPr>
            <w:r w:rsidRPr="00807890">
              <w:rPr>
                <w:rFonts w:cs="Times New Roman"/>
                <w:b/>
                <w:bCs/>
                <w:color w:val="000000"/>
                <w:sz w:val="22"/>
              </w:rPr>
              <w:t>ACTIF</w:t>
            </w:r>
          </w:p>
        </w:tc>
        <w:tc>
          <w:tcPr>
            <w:tcW w:w="465" w:type="dxa"/>
            <w:tcBorders>
              <w:top w:val="nil"/>
              <w:left w:val="nil"/>
              <w:bottom w:val="single" w:sz="4" w:space="0" w:color="auto"/>
              <w:right w:val="single" w:sz="4" w:space="0" w:color="auto"/>
            </w:tcBorders>
            <w:noWrap/>
            <w:vAlign w:val="center"/>
          </w:tcPr>
          <w:p w:rsidR="002964F9" w:rsidRPr="00807890" w:rsidRDefault="002964F9" w:rsidP="002964F9">
            <w:pPr>
              <w:spacing w:before="0" w:after="0" w:line="240" w:lineRule="auto"/>
              <w:ind w:firstLine="0"/>
              <w:rPr>
                <w:rFonts w:cs="Times New Roman"/>
                <w:b/>
                <w:bCs/>
                <w:color w:val="000000"/>
              </w:rPr>
            </w:pPr>
            <w:r w:rsidRPr="00807890">
              <w:rPr>
                <w:rFonts w:cs="Times New Roman"/>
                <w:b/>
                <w:bCs/>
                <w:color w:val="000000"/>
                <w:sz w:val="22"/>
              </w:rPr>
              <w:t>N</w:t>
            </w:r>
          </w:p>
        </w:tc>
        <w:tc>
          <w:tcPr>
            <w:tcW w:w="629" w:type="dxa"/>
            <w:tcBorders>
              <w:top w:val="nil"/>
              <w:left w:val="nil"/>
              <w:bottom w:val="single" w:sz="4" w:space="0" w:color="auto"/>
              <w:right w:val="single" w:sz="4" w:space="0" w:color="auto"/>
            </w:tcBorders>
            <w:noWrap/>
            <w:vAlign w:val="center"/>
          </w:tcPr>
          <w:p w:rsidR="002964F9" w:rsidRPr="00807890" w:rsidRDefault="002964F9" w:rsidP="002964F9">
            <w:pPr>
              <w:spacing w:before="0" w:after="0" w:line="240" w:lineRule="auto"/>
              <w:ind w:firstLine="0"/>
              <w:rPr>
                <w:rFonts w:cs="Times New Roman"/>
                <w:b/>
                <w:bCs/>
                <w:color w:val="000000"/>
              </w:rPr>
            </w:pPr>
            <w:r w:rsidRPr="00807890">
              <w:rPr>
                <w:rFonts w:cs="Times New Roman"/>
                <w:b/>
                <w:bCs/>
                <w:color w:val="000000"/>
                <w:sz w:val="22"/>
              </w:rPr>
              <w:t>N-1</w:t>
            </w:r>
          </w:p>
        </w:tc>
        <w:tc>
          <w:tcPr>
            <w:tcW w:w="3297" w:type="dxa"/>
            <w:tcBorders>
              <w:top w:val="nil"/>
              <w:left w:val="nil"/>
              <w:bottom w:val="single" w:sz="4" w:space="0" w:color="auto"/>
              <w:right w:val="single" w:sz="4" w:space="0" w:color="auto"/>
            </w:tcBorders>
            <w:noWrap/>
            <w:vAlign w:val="center"/>
          </w:tcPr>
          <w:p w:rsidR="002964F9" w:rsidRPr="00807890" w:rsidRDefault="002964F9" w:rsidP="002964F9">
            <w:pPr>
              <w:spacing w:before="0" w:after="0" w:line="240" w:lineRule="auto"/>
              <w:ind w:firstLine="0"/>
              <w:rPr>
                <w:rFonts w:cs="Times New Roman"/>
                <w:b/>
                <w:bCs/>
                <w:color w:val="000000"/>
              </w:rPr>
            </w:pPr>
            <w:r w:rsidRPr="00807890">
              <w:rPr>
                <w:rFonts w:cs="Times New Roman"/>
                <w:b/>
                <w:bCs/>
                <w:color w:val="000000"/>
                <w:sz w:val="22"/>
              </w:rPr>
              <w:t>PASSIF</w:t>
            </w:r>
          </w:p>
        </w:tc>
        <w:tc>
          <w:tcPr>
            <w:tcW w:w="821" w:type="dxa"/>
            <w:tcBorders>
              <w:top w:val="nil"/>
              <w:left w:val="nil"/>
              <w:bottom w:val="single" w:sz="4" w:space="0" w:color="auto"/>
              <w:right w:val="single" w:sz="4" w:space="0" w:color="auto"/>
            </w:tcBorders>
            <w:noWrap/>
            <w:vAlign w:val="center"/>
          </w:tcPr>
          <w:p w:rsidR="002964F9" w:rsidRPr="00807890" w:rsidRDefault="002964F9" w:rsidP="002964F9">
            <w:pPr>
              <w:spacing w:before="0" w:after="0" w:line="240" w:lineRule="auto"/>
              <w:ind w:firstLine="0"/>
              <w:rPr>
                <w:rFonts w:cs="Times New Roman"/>
                <w:b/>
                <w:bCs/>
                <w:color w:val="000000"/>
              </w:rPr>
            </w:pPr>
            <w:r w:rsidRPr="00807890">
              <w:rPr>
                <w:rFonts w:cs="Times New Roman"/>
                <w:b/>
                <w:bCs/>
                <w:color w:val="000000"/>
                <w:sz w:val="22"/>
              </w:rPr>
              <w:t>N</w:t>
            </w:r>
          </w:p>
        </w:tc>
        <w:tc>
          <w:tcPr>
            <w:tcW w:w="919" w:type="dxa"/>
            <w:tcBorders>
              <w:top w:val="nil"/>
              <w:left w:val="nil"/>
              <w:bottom w:val="single" w:sz="4" w:space="0" w:color="auto"/>
              <w:right w:val="single" w:sz="4" w:space="0" w:color="auto"/>
            </w:tcBorders>
            <w:noWrap/>
            <w:vAlign w:val="center"/>
          </w:tcPr>
          <w:p w:rsidR="002964F9" w:rsidRPr="00807890" w:rsidRDefault="002964F9" w:rsidP="002964F9">
            <w:pPr>
              <w:spacing w:before="0" w:after="0" w:line="240" w:lineRule="auto"/>
              <w:ind w:firstLine="0"/>
              <w:rPr>
                <w:rFonts w:cs="Times New Roman"/>
                <w:b/>
                <w:bCs/>
                <w:color w:val="000000"/>
              </w:rPr>
            </w:pPr>
            <w:r w:rsidRPr="00807890">
              <w:rPr>
                <w:rFonts w:cs="Times New Roman"/>
                <w:b/>
                <w:bCs/>
                <w:color w:val="000000"/>
                <w:sz w:val="22"/>
              </w:rPr>
              <w:t>N-1</w:t>
            </w:r>
          </w:p>
        </w:tc>
      </w:tr>
      <w:tr w:rsidR="002964F9" w:rsidRPr="00807890" w:rsidTr="002964F9">
        <w:trPr>
          <w:trHeight w:val="153"/>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 Caisse, Banque Centrale, Comptes courants postaux</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 Banque Centrale, Comptes courants postaux</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2. Effets publics et valeurs assimilées</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2. Dettes envers les établissements de crédits</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66"/>
        </w:trPr>
        <w:tc>
          <w:tcPr>
            <w:tcW w:w="3622" w:type="dxa"/>
            <w:tcBorders>
              <w:top w:val="nil"/>
              <w:left w:val="single" w:sz="4" w:space="0" w:color="auto"/>
              <w:bottom w:val="nil"/>
              <w:right w:val="single" w:sz="4" w:space="0" w:color="auto"/>
            </w:tcBorders>
            <w:noWrap/>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3. Créances sur les établissements de crédits:</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3. Comptes créditeurs clientèle, comptes d'épargne à régime spécial,</w:t>
            </w:r>
          </w:p>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Autres dettes :</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numPr>
                <w:ilvl w:val="0"/>
                <w:numId w:val="10"/>
              </w:numPr>
              <w:spacing w:before="0" w:after="0" w:line="240" w:lineRule="auto"/>
              <w:jc w:val="left"/>
              <w:rPr>
                <w:rFonts w:cs="Times New Roman"/>
                <w:color w:val="000000"/>
              </w:rPr>
            </w:pPr>
            <w:r w:rsidRPr="00807890">
              <w:rPr>
                <w:rFonts w:cs="Times New Roman"/>
                <w:color w:val="000000"/>
                <w:sz w:val="22"/>
              </w:rPr>
              <w:t>A vue</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numPr>
                <w:ilvl w:val="0"/>
                <w:numId w:val="9"/>
              </w:numPr>
              <w:spacing w:before="0" w:after="0" w:line="240" w:lineRule="auto"/>
              <w:jc w:val="left"/>
              <w:rPr>
                <w:rFonts w:cs="Times New Roman"/>
                <w:color w:val="000000"/>
              </w:rPr>
            </w:pPr>
            <w:r w:rsidRPr="00807890">
              <w:rPr>
                <w:rFonts w:cs="Times New Roman"/>
                <w:color w:val="000000"/>
                <w:sz w:val="22"/>
              </w:rPr>
              <w:t>A vue</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numPr>
                <w:ilvl w:val="0"/>
                <w:numId w:val="9"/>
              </w:numPr>
              <w:spacing w:before="0" w:after="0" w:line="240" w:lineRule="auto"/>
              <w:jc w:val="left"/>
              <w:rPr>
                <w:rFonts w:cs="Times New Roman"/>
                <w:color w:val="000000"/>
              </w:rPr>
            </w:pPr>
            <w:r w:rsidRPr="00807890">
              <w:rPr>
                <w:rFonts w:cs="Times New Roman"/>
                <w:color w:val="000000"/>
                <w:sz w:val="22"/>
              </w:rPr>
              <w:t xml:space="preserve"> A terme</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numPr>
                <w:ilvl w:val="0"/>
                <w:numId w:val="9"/>
              </w:numPr>
              <w:spacing w:before="0" w:after="0" w:line="240" w:lineRule="auto"/>
              <w:jc w:val="left"/>
              <w:rPr>
                <w:rFonts w:cs="Times New Roman"/>
                <w:color w:val="000000"/>
              </w:rPr>
            </w:pPr>
            <w:r w:rsidRPr="00807890">
              <w:rPr>
                <w:rFonts w:cs="Times New Roman"/>
                <w:color w:val="000000"/>
                <w:sz w:val="22"/>
              </w:rPr>
              <w:t>A terme</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66"/>
        </w:trPr>
        <w:tc>
          <w:tcPr>
            <w:tcW w:w="3622" w:type="dxa"/>
            <w:tcBorders>
              <w:top w:val="nil"/>
              <w:left w:val="single" w:sz="4" w:space="0" w:color="auto"/>
              <w:bottom w:val="nil"/>
              <w:right w:val="single" w:sz="4" w:space="0" w:color="auto"/>
            </w:tcBorders>
            <w:noWrap/>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4. Créances sur la clientèle:</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vMerge w:val="restart"/>
            <w:tcBorders>
              <w:top w:val="nil"/>
              <w:left w:val="single" w:sz="4" w:space="0" w:color="auto"/>
              <w:bottom w:val="nil"/>
              <w:right w:val="single" w:sz="4" w:space="0" w:color="auto"/>
            </w:tcBorders>
            <w:noWrap/>
            <w:vAlign w:val="center"/>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4. Dettes représentées par un titre: bons de caisse, titres du marché interbancaire et TCN, emprunts obligataires, autres dettes représentées par un titre</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numPr>
                <w:ilvl w:val="0"/>
                <w:numId w:val="9"/>
              </w:numPr>
              <w:spacing w:before="0" w:after="0" w:line="240" w:lineRule="auto"/>
              <w:jc w:val="left"/>
              <w:rPr>
                <w:rFonts w:cs="Times New Roman"/>
                <w:color w:val="000000"/>
              </w:rPr>
            </w:pPr>
            <w:r w:rsidRPr="00807890">
              <w:rPr>
                <w:rFonts w:cs="Times New Roman"/>
                <w:color w:val="000000"/>
                <w:sz w:val="22"/>
              </w:rPr>
              <w:t>Créances commerciales</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vMerge/>
            <w:tcBorders>
              <w:top w:val="nil"/>
              <w:left w:val="single" w:sz="4" w:space="0" w:color="auto"/>
              <w:bottom w:val="nil"/>
              <w:right w:val="single" w:sz="4" w:space="0" w:color="auto"/>
            </w:tcBorders>
            <w:vAlign w:val="center"/>
          </w:tcPr>
          <w:p w:rsidR="002964F9" w:rsidRPr="00807890" w:rsidRDefault="002964F9" w:rsidP="002964F9">
            <w:pPr>
              <w:spacing w:before="0" w:after="0" w:line="240" w:lineRule="auto"/>
              <w:ind w:firstLine="0"/>
              <w:rPr>
                <w:rFonts w:cs="Times New Roman"/>
                <w:color w:val="000000"/>
              </w:rPr>
            </w:pP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numPr>
                <w:ilvl w:val="0"/>
                <w:numId w:val="9"/>
              </w:numPr>
              <w:spacing w:before="0" w:after="0" w:line="240" w:lineRule="auto"/>
              <w:jc w:val="left"/>
              <w:rPr>
                <w:rFonts w:cs="Times New Roman"/>
                <w:color w:val="000000"/>
              </w:rPr>
            </w:pPr>
            <w:r w:rsidRPr="00807890">
              <w:rPr>
                <w:rFonts w:cs="Times New Roman"/>
                <w:color w:val="000000"/>
                <w:sz w:val="22"/>
              </w:rPr>
              <w:t>Autres encours à la clientèle</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vMerge/>
            <w:tcBorders>
              <w:top w:val="nil"/>
              <w:left w:val="single" w:sz="4" w:space="0" w:color="auto"/>
              <w:bottom w:val="nil"/>
              <w:right w:val="single" w:sz="4" w:space="0" w:color="auto"/>
            </w:tcBorders>
            <w:vAlign w:val="center"/>
          </w:tcPr>
          <w:p w:rsidR="002964F9" w:rsidRPr="00807890" w:rsidRDefault="002964F9" w:rsidP="002964F9">
            <w:pPr>
              <w:spacing w:before="0" w:after="0" w:line="240" w:lineRule="auto"/>
              <w:ind w:firstLine="0"/>
              <w:rPr>
                <w:rFonts w:cs="Times New Roman"/>
                <w:color w:val="000000"/>
              </w:rPr>
            </w:pP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numPr>
                <w:ilvl w:val="0"/>
                <w:numId w:val="9"/>
              </w:numPr>
              <w:spacing w:before="0" w:after="0" w:line="240" w:lineRule="auto"/>
              <w:jc w:val="left"/>
              <w:rPr>
                <w:rFonts w:cs="Times New Roman"/>
                <w:color w:val="000000"/>
              </w:rPr>
            </w:pPr>
            <w:r w:rsidRPr="00807890">
              <w:rPr>
                <w:rFonts w:cs="Times New Roman"/>
                <w:color w:val="000000"/>
                <w:sz w:val="22"/>
              </w:rPr>
              <w:t xml:space="preserve">Comptes ordinaires débiteurs </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vMerge/>
            <w:tcBorders>
              <w:top w:val="nil"/>
              <w:left w:val="single" w:sz="4" w:space="0" w:color="auto"/>
              <w:bottom w:val="nil"/>
              <w:right w:val="single" w:sz="4" w:space="0" w:color="auto"/>
            </w:tcBorders>
            <w:vAlign w:val="center"/>
          </w:tcPr>
          <w:p w:rsidR="002964F9" w:rsidRPr="00807890" w:rsidRDefault="002964F9" w:rsidP="002964F9">
            <w:pPr>
              <w:spacing w:before="0" w:after="0" w:line="240" w:lineRule="auto"/>
              <w:ind w:firstLine="0"/>
              <w:rPr>
                <w:rFonts w:cs="Times New Roman"/>
                <w:color w:val="000000"/>
              </w:rPr>
            </w:pP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5. Affacturage</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5. Autres passif</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6. Obligations et autres titres à revenu fixe</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6. Comptes de régularisation</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7. Actions et autres titres à revenu variable</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7. Provisions pour risques et charges</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xml:space="preserve">8. Promotions immobilières </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xml:space="preserve">8. Provisions réglementées </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9. Participations et activité portefeuille</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9. Subventions d'investissement</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10. Parts dans les entreprises liées</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10. Dépôts de garantie à caractère mutuel</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11. Crédit-bail et location avec option d'achat</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11. Fonds pour risques bancaires généraux</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12. Location simple</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12. Dettes subordonnées</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13. Immobilisations incorporelles</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13. Capital souscrit</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14. Immobilisations corporelles</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14. Prime d'émission</w:t>
            </w:r>
          </w:p>
        </w:tc>
        <w:tc>
          <w:tcPr>
            <w:tcW w:w="821"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15. Capital souscrit non versé</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nil"/>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15. Réserves</w:t>
            </w:r>
          </w:p>
        </w:tc>
        <w:tc>
          <w:tcPr>
            <w:tcW w:w="821"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16. Actions propres</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nil"/>
              <w:right w:val="nil"/>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16. Ecarts de réévaluations</w:t>
            </w:r>
          </w:p>
        </w:tc>
        <w:tc>
          <w:tcPr>
            <w:tcW w:w="821"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17. Autres actifs</w:t>
            </w:r>
          </w:p>
        </w:tc>
        <w:tc>
          <w:tcPr>
            <w:tcW w:w="465"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vMerge w:val="restart"/>
            <w:tcBorders>
              <w:top w:val="nil"/>
              <w:left w:val="nil"/>
              <w:right w:val="nil"/>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17. Report à nouveau (+/-)</w:t>
            </w:r>
          </w:p>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18. Résultat de l'exercice (+/-)</w:t>
            </w:r>
          </w:p>
        </w:tc>
        <w:tc>
          <w:tcPr>
            <w:tcW w:w="821"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single" w:sz="4" w:space="0" w:color="auto"/>
              <w:right w:val="nil"/>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18. Comptes de régularisation</w:t>
            </w:r>
          </w:p>
        </w:tc>
        <w:tc>
          <w:tcPr>
            <w:tcW w:w="465"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vMerge/>
            <w:tcBorders>
              <w:left w:val="nil"/>
              <w:bottom w:val="single" w:sz="4" w:space="0" w:color="auto"/>
              <w:right w:val="nil"/>
            </w:tcBorders>
            <w:noWrap/>
            <w:vAlign w:val="bottom"/>
          </w:tcPr>
          <w:p w:rsidR="002964F9" w:rsidRPr="00807890" w:rsidRDefault="002964F9" w:rsidP="002964F9">
            <w:pPr>
              <w:spacing w:before="0" w:after="0" w:line="240" w:lineRule="auto"/>
              <w:ind w:firstLine="0"/>
              <w:rPr>
                <w:rFonts w:cs="Times New Roman"/>
                <w:color w:val="000000"/>
              </w:rPr>
            </w:pPr>
          </w:p>
        </w:tc>
        <w:tc>
          <w:tcPr>
            <w:tcW w:w="821" w:type="dxa"/>
            <w:tcBorders>
              <w:top w:val="nil"/>
              <w:left w:val="single" w:sz="4" w:space="0" w:color="auto"/>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nil"/>
              <w:left w:val="nil"/>
              <w:bottom w:val="nil"/>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r w:rsidR="002964F9" w:rsidRPr="00807890" w:rsidTr="002964F9">
        <w:trPr>
          <w:trHeight w:val="128"/>
        </w:trPr>
        <w:tc>
          <w:tcPr>
            <w:tcW w:w="3622" w:type="dxa"/>
            <w:tcBorders>
              <w:top w:val="nil"/>
              <w:left w:val="single" w:sz="4" w:space="0" w:color="auto"/>
              <w:bottom w:val="single" w:sz="4" w:space="0" w:color="auto"/>
              <w:right w:val="single" w:sz="4" w:space="0" w:color="auto"/>
            </w:tcBorders>
            <w:noWrap/>
            <w:vAlign w:val="bottom"/>
          </w:tcPr>
          <w:p w:rsidR="002964F9" w:rsidRPr="00807890" w:rsidRDefault="002964F9" w:rsidP="002964F9">
            <w:pPr>
              <w:spacing w:before="0" w:after="0" w:line="240" w:lineRule="auto"/>
              <w:ind w:firstLine="0"/>
              <w:rPr>
                <w:rFonts w:cs="Times New Roman"/>
                <w:b/>
                <w:bCs/>
                <w:color w:val="000000"/>
              </w:rPr>
            </w:pPr>
            <w:r w:rsidRPr="00807890">
              <w:rPr>
                <w:rFonts w:cs="Times New Roman"/>
                <w:b/>
                <w:bCs/>
                <w:color w:val="000000"/>
                <w:sz w:val="22"/>
              </w:rPr>
              <w:t>Total de l'actif</w:t>
            </w:r>
          </w:p>
        </w:tc>
        <w:tc>
          <w:tcPr>
            <w:tcW w:w="465" w:type="dxa"/>
            <w:tcBorders>
              <w:top w:val="single" w:sz="4" w:space="0" w:color="auto"/>
              <w:left w:val="nil"/>
              <w:bottom w:val="single" w:sz="4" w:space="0" w:color="auto"/>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629" w:type="dxa"/>
            <w:tcBorders>
              <w:top w:val="single" w:sz="4" w:space="0" w:color="auto"/>
              <w:left w:val="nil"/>
              <w:bottom w:val="single" w:sz="4" w:space="0" w:color="auto"/>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3297" w:type="dxa"/>
            <w:tcBorders>
              <w:top w:val="nil"/>
              <w:left w:val="nil"/>
              <w:bottom w:val="single" w:sz="4" w:space="0" w:color="auto"/>
              <w:right w:val="single" w:sz="4" w:space="0" w:color="auto"/>
            </w:tcBorders>
            <w:noWrap/>
            <w:vAlign w:val="bottom"/>
          </w:tcPr>
          <w:p w:rsidR="002964F9" w:rsidRPr="00807890" w:rsidRDefault="002964F9" w:rsidP="002964F9">
            <w:pPr>
              <w:spacing w:before="0" w:after="0" w:line="240" w:lineRule="auto"/>
              <w:ind w:firstLine="0"/>
              <w:rPr>
                <w:rFonts w:cs="Times New Roman"/>
                <w:b/>
                <w:bCs/>
                <w:color w:val="000000"/>
              </w:rPr>
            </w:pPr>
            <w:r w:rsidRPr="00807890">
              <w:rPr>
                <w:rFonts w:cs="Times New Roman"/>
                <w:b/>
                <w:bCs/>
                <w:color w:val="000000"/>
                <w:sz w:val="22"/>
              </w:rPr>
              <w:t>Total du passif</w:t>
            </w:r>
          </w:p>
        </w:tc>
        <w:tc>
          <w:tcPr>
            <w:tcW w:w="821" w:type="dxa"/>
            <w:tcBorders>
              <w:top w:val="single" w:sz="4" w:space="0" w:color="auto"/>
              <w:left w:val="nil"/>
              <w:bottom w:val="single" w:sz="4" w:space="0" w:color="auto"/>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c>
          <w:tcPr>
            <w:tcW w:w="919" w:type="dxa"/>
            <w:tcBorders>
              <w:top w:val="single" w:sz="4" w:space="0" w:color="auto"/>
              <w:left w:val="nil"/>
              <w:bottom w:val="single" w:sz="4" w:space="0" w:color="auto"/>
              <w:right w:val="single" w:sz="4" w:space="0" w:color="auto"/>
            </w:tcBorders>
            <w:noWrap/>
            <w:vAlign w:val="bottom"/>
          </w:tcPr>
          <w:p w:rsidR="002964F9" w:rsidRPr="00807890" w:rsidRDefault="002964F9" w:rsidP="002964F9">
            <w:pPr>
              <w:spacing w:before="0" w:after="0" w:line="240" w:lineRule="auto"/>
              <w:ind w:firstLine="0"/>
              <w:rPr>
                <w:rFonts w:cs="Times New Roman"/>
                <w:color w:val="000000"/>
              </w:rPr>
            </w:pPr>
            <w:r w:rsidRPr="00807890">
              <w:rPr>
                <w:rFonts w:cs="Times New Roman"/>
                <w:color w:val="000000"/>
                <w:sz w:val="22"/>
              </w:rPr>
              <w:t> </w:t>
            </w:r>
          </w:p>
        </w:tc>
      </w:tr>
    </w:tbl>
    <w:p w:rsidR="001D5E53" w:rsidRPr="0058792C" w:rsidRDefault="00CC0573" w:rsidP="001D5E53">
      <w:pPr>
        <w:pStyle w:val="Titre2"/>
      </w:pPr>
      <w:r>
        <w:rPr>
          <w:b w:val="0"/>
          <w:bCs w:val="0"/>
          <w:noProof/>
          <w:color w:val="000000"/>
          <w:sz w:val="22"/>
        </w:rPr>
        <mc:AlternateContent>
          <mc:Choice Requires="wps">
            <w:drawing>
              <wp:anchor distT="0" distB="0" distL="114300" distR="114300" simplePos="0" relativeHeight="251709440" behindDoc="0" locked="0" layoutInCell="1" allowOverlap="1" wp14:anchorId="0D36EEF6" wp14:editId="0F7A19E1">
                <wp:simplePos x="0" y="0"/>
                <wp:positionH relativeFrom="column">
                  <wp:posOffset>-249555</wp:posOffset>
                </wp:positionH>
                <wp:positionV relativeFrom="paragraph">
                  <wp:posOffset>77470</wp:posOffset>
                </wp:positionV>
                <wp:extent cx="6703695" cy="307340"/>
                <wp:effectExtent l="0" t="0" r="1905" b="0"/>
                <wp:wrapNone/>
                <wp:docPr id="3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03695" cy="3073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26CCF" w:rsidRPr="00E13675" w:rsidRDefault="00826CCF" w:rsidP="005B33F3">
                            <w:pPr>
                              <w:jc w:val="center"/>
                              <w:rPr>
                                <w:rFonts w:cs="Times New Roman"/>
                                <w:sz w:val="20"/>
                                <w:szCs w:val="20"/>
                              </w:rPr>
                            </w:pPr>
                            <w:r>
                              <w:rPr>
                                <w:rFonts w:cs="Times New Roman"/>
                                <w:sz w:val="20"/>
                                <w:szCs w:val="20"/>
                              </w:rPr>
                              <w:t>Source</w:t>
                            </w:r>
                            <w:r w:rsidRPr="00E13675">
                              <w:rPr>
                                <w:rFonts w:cs="Times New Roman"/>
                                <w:sz w:val="20"/>
                                <w:szCs w:val="20"/>
                              </w:rPr>
                              <w:t>:</w:t>
                            </w:r>
                            <w:r>
                              <w:rPr>
                                <w:rFonts w:cs="Times New Roman"/>
                                <w:sz w:val="20"/>
                                <w:szCs w:val="20"/>
                              </w:rPr>
                              <w:t xml:space="preserve"> </w:t>
                            </w:r>
                            <w:r w:rsidRPr="00E13675">
                              <w:rPr>
                                <w:rFonts w:cs="Times New Roman"/>
                                <w:sz w:val="20"/>
                                <w:szCs w:val="20"/>
                              </w:rPr>
                              <w:t>PUPION Pierre-</w:t>
                            </w:r>
                            <w:r>
                              <w:rPr>
                                <w:rFonts w:cs="Times New Roman"/>
                                <w:sz w:val="20"/>
                                <w:szCs w:val="20"/>
                              </w:rPr>
                              <w:t>Charles</w:t>
                            </w:r>
                            <w:r w:rsidRPr="00E13675">
                              <w:rPr>
                                <w:rFonts w:cs="Times New Roman"/>
                                <w:sz w:val="20"/>
                                <w:szCs w:val="20"/>
                              </w:rPr>
                              <w:t>: « Economie et gestion bancaire</w:t>
                            </w:r>
                            <w:r>
                              <w:rPr>
                                <w:rFonts w:cs="Times New Roman"/>
                                <w:sz w:val="20"/>
                                <w:szCs w:val="20"/>
                              </w:rPr>
                              <w:t> »</w:t>
                            </w:r>
                            <w:r w:rsidRPr="00E13675">
                              <w:rPr>
                                <w:rFonts w:cs="Times New Roman"/>
                                <w:sz w:val="20"/>
                                <w:szCs w:val="20"/>
                              </w:rPr>
                              <w:t xml:space="preserve">, Edition DUNOD, Paris, 1999, P 48 </w:t>
                            </w:r>
                          </w:p>
                          <w:p w:rsidR="00826CCF" w:rsidRDefault="00826CC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 o:spid="_x0000_s1033" type="#_x0000_t202" style="position:absolute;left:0;text-align:left;margin-left:-19.65pt;margin-top:6.1pt;width:527.85pt;height:24.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" fillcolor="white [3201]" stroked="f" strokeweight=".5pt">
                <v:path arrowok="t"/>
                <v:textbox>
                  <w:txbxContent>
                    <w:p w:rsidR="00826CCF" w:rsidRPr="00E13675" w:rsidRDefault="00826CCF" w:rsidP="005B33F3">
                      <w:pPr>
                        <w:jc w:val="center"/>
                        <w:rPr>
                          <w:rFonts w:cs="Times New Roman"/>
                          <w:sz w:val="20"/>
                          <w:szCs w:val="20"/>
                        </w:rPr>
                      </w:pPr>
                      <w:r>
                        <w:rPr>
                          <w:rFonts w:cs="Times New Roman"/>
                          <w:sz w:val="20"/>
                          <w:szCs w:val="20"/>
                        </w:rPr>
                        <w:t>Source</w:t>
                      </w:r>
                      <w:r w:rsidRPr="00E13675">
                        <w:rPr>
                          <w:rFonts w:cs="Times New Roman"/>
                          <w:sz w:val="20"/>
                          <w:szCs w:val="20"/>
                        </w:rPr>
                        <w:t>:</w:t>
                      </w:r>
                      <w:r>
                        <w:rPr>
                          <w:rFonts w:cs="Times New Roman"/>
                          <w:sz w:val="20"/>
                          <w:szCs w:val="20"/>
                        </w:rPr>
                        <w:t xml:space="preserve"> </w:t>
                      </w:r>
                      <w:r w:rsidRPr="00E13675">
                        <w:rPr>
                          <w:rFonts w:cs="Times New Roman"/>
                          <w:sz w:val="20"/>
                          <w:szCs w:val="20"/>
                        </w:rPr>
                        <w:t>PUPION Pierre-</w:t>
                      </w:r>
                      <w:r>
                        <w:rPr>
                          <w:rFonts w:cs="Times New Roman"/>
                          <w:sz w:val="20"/>
                          <w:szCs w:val="20"/>
                        </w:rPr>
                        <w:t>Charles</w:t>
                      </w:r>
                      <w:r w:rsidRPr="00E13675">
                        <w:rPr>
                          <w:rFonts w:cs="Times New Roman"/>
                          <w:sz w:val="20"/>
                          <w:szCs w:val="20"/>
                        </w:rPr>
                        <w:t>: « Economie et gestion bancaire</w:t>
                      </w:r>
                      <w:r>
                        <w:rPr>
                          <w:rFonts w:cs="Times New Roman"/>
                          <w:sz w:val="20"/>
                          <w:szCs w:val="20"/>
                        </w:rPr>
                        <w:t> »</w:t>
                      </w:r>
                      <w:r w:rsidRPr="00E13675">
                        <w:rPr>
                          <w:rFonts w:cs="Times New Roman"/>
                          <w:sz w:val="20"/>
                          <w:szCs w:val="20"/>
                        </w:rPr>
                        <w:t xml:space="preserve">, Edition DUNOD, Paris, 1999, P 48 </w:t>
                      </w:r>
                    </w:p>
                    <w:p w:rsidR="00826CCF" w:rsidRDefault="00826CCF"/>
                  </w:txbxContent>
                </v:textbox>
              </v:shape>
            </w:pict>
          </mc:Fallback>
        </mc:AlternateContent>
      </w:r>
      <w:bookmarkStart w:id="46" w:name="_Toc431980004"/>
      <w:r w:rsidR="001D5E53" w:rsidRPr="0058792C">
        <w:t xml:space="preserve">3-2- </w:t>
      </w:r>
      <w:r w:rsidR="005576B2">
        <w:t>P</w:t>
      </w:r>
      <w:r w:rsidR="001D5E53" w:rsidRPr="0058792C">
        <w:t>résentation du hors bilan de la banque :</w:t>
      </w:r>
      <w:bookmarkEnd w:id="46"/>
    </w:p>
    <w:p w:rsidR="00757D25" w:rsidRDefault="00757D25" w:rsidP="001D5E53">
      <w:pPr>
        <w:rPr>
          <w:rFonts w:cs="Times New Roman"/>
          <w:szCs w:val="24"/>
        </w:rPr>
      </w:pPr>
    </w:p>
    <w:p w:rsidR="001D5E53" w:rsidRDefault="001D5E53" w:rsidP="001D5E53">
      <w:pPr>
        <w:rPr>
          <w:rFonts w:cs="Times New Roman"/>
          <w:szCs w:val="24"/>
        </w:rPr>
      </w:pPr>
      <w:r w:rsidRPr="0058792C">
        <w:rPr>
          <w:rFonts w:cs="Times New Roman"/>
          <w:szCs w:val="24"/>
        </w:rPr>
        <w:t>Alors que le bilan représente la situation patrimoniale de la banque ; c'est-à-dire</w:t>
      </w:r>
      <w:r w:rsidR="005B33F3">
        <w:rPr>
          <w:rFonts w:cs="Times New Roman"/>
          <w:szCs w:val="24"/>
        </w:rPr>
        <w:t xml:space="preserve"> </w:t>
      </w:r>
      <w:r w:rsidRPr="0058792C">
        <w:rPr>
          <w:rFonts w:cs="Times New Roman"/>
          <w:szCs w:val="24"/>
        </w:rPr>
        <w:t>les actifs dont elle dispose et les passifs auxquels elle doit faire face, les engagements hors bilan concernent les droits et obligation, lesquels, s’ils se réalisent, sont susceptibles de modifier cette situation patrimoniale.</w:t>
      </w:r>
    </w:p>
    <w:p w:rsidR="00E44A61" w:rsidRDefault="00E44A61" w:rsidP="005576B2">
      <w:pPr>
        <w:pStyle w:val="Titre2"/>
      </w:pPr>
      <w:bookmarkStart w:id="47" w:name="_Toc431980005"/>
    </w:p>
    <w:p w:rsidR="005576B2" w:rsidRPr="005576B2" w:rsidRDefault="00E44A61" w:rsidP="005576B2">
      <w:pPr>
        <w:pStyle w:val="Titre2"/>
      </w:pPr>
      <w:r>
        <w:t xml:space="preserve">3.2 </w:t>
      </w:r>
      <w:r w:rsidR="005576B2" w:rsidRPr="0058792C">
        <w:t xml:space="preserve"> Présentation du compte de résultat de la banque :</w:t>
      </w:r>
      <w:bookmarkEnd w:id="47"/>
    </w:p>
    <w:p w:rsidR="001D5E53" w:rsidRPr="005576B2" w:rsidRDefault="00E13675" w:rsidP="005576B2">
      <w:pPr>
        <w:ind w:firstLine="0"/>
        <w:rPr>
          <w:rFonts w:cs="Times New Roman"/>
          <w:b/>
          <w:bCs/>
          <w:szCs w:val="24"/>
        </w:rPr>
      </w:pPr>
      <w:r w:rsidRPr="005576B2">
        <w:rPr>
          <w:rFonts w:cs="Times New Roman"/>
          <w:b/>
          <w:bCs/>
          <w:szCs w:val="24"/>
        </w:rPr>
        <w:t>Tableau N°3 : Hors bilan de la banque</w:t>
      </w:r>
    </w:p>
    <w:tbl>
      <w:tblPr>
        <w:tblpPr w:leftFromText="141" w:rightFromText="141" w:vertAnchor="text" w:horzAnchor="margin" w:tblpY="128"/>
        <w:tblW w:w="9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046"/>
        <w:gridCol w:w="878"/>
        <w:gridCol w:w="851"/>
      </w:tblGrid>
      <w:tr w:rsidR="005576B2" w:rsidRPr="005A6926" w:rsidTr="009E1C33">
        <w:trPr>
          <w:trHeight w:val="134"/>
        </w:trPr>
        <w:tc>
          <w:tcPr>
            <w:tcW w:w="8046" w:type="dxa"/>
            <w:vAlign w:val="center"/>
          </w:tcPr>
          <w:p w:rsidR="005576B2" w:rsidRPr="005A6926" w:rsidRDefault="005576B2" w:rsidP="005576B2">
            <w:pPr>
              <w:spacing w:before="0" w:after="0" w:line="240" w:lineRule="auto"/>
              <w:ind w:firstLine="0"/>
              <w:rPr>
                <w:rFonts w:cs="Times New Roman"/>
                <w:b/>
                <w:bCs/>
                <w:sz w:val="28"/>
                <w:szCs w:val="28"/>
              </w:rPr>
            </w:pPr>
            <w:r w:rsidRPr="005A6926">
              <w:rPr>
                <w:rFonts w:cs="Times New Roman"/>
                <w:b/>
                <w:bCs/>
                <w:sz w:val="28"/>
                <w:szCs w:val="28"/>
              </w:rPr>
              <w:t>HORS BILAN</w:t>
            </w:r>
          </w:p>
        </w:tc>
        <w:tc>
          <w:tcPr>
            <w:tcW w:w="878" w:type="dxa"/>
            <w:vAlign w:val="center"/>
          </w:tcPr>
          <w:p w:rsidR="005576B2" w:rsidRPr="005A6926" w:rsidRDefault="005576B2" w:rsidP="005576B2">
            <w:pPr>
              <w:spacing w:before="0" w:after="0" w:line="240" w:lineRule="auto"/>
              <w:ind w:firstLine="0"/>
              <w:rPr>
                <w:rFonts w:cs="Times New Roman"/>
                <w:b/>
                <w:bCs/>
                <w:sz w:val="28"/>
                <w:szCs w:val="28"/>
              </w:rPr>
            </w:pPr>
            <w:r w:rsidRPr="005A6926">
              <w:rPr>
                <w:rFonts w:cs="Times New Roman"/>
                <w:b/>
                <w:bCs/>
                <w:sz w:val="28"/>
                <w:szCs w:val="28"/>
              </w:rPr>
              <w:t>N</w:t>
            </w:r>
          </w:p>
        </w:tc>
        <w:tc>
          <w:tcPr>
            <w:tcW w:w="851" w:type="dxa"/>
            <w:vAlign w:val="center"/>
          </w:tcPr>
          <w:p w:rsidR="005576B2" w:rsidRPr="005A6926" w:rsidRDefault="005576B2" w:rsidP="005576B2">
            <w:pPr>
              <w:spacing w:before="0" w:after="0" w:line="240" w:lineRule="auto"/>
              <w:ind w:firstLine="0"/>
              <w:rPr>
                <w:rFonts w:cs="Times New Roman"/>
                <w:b/>
                <w:bCs/>
                <w:sz w:val="28"/>
                <w:szCs w:val="28"/>
              </w:rPr>
            </w:pPr>
            <w:r w:rsidRPr="005A6926">
              <w:rPr>
                <w:rFonts w:cs="Times New Roman"/>
                <w:b/>
                <w:bCs/>
                <w:sz w:val="28"/>
                <w:szCs w:val="28"/>
              </w:rPr>
              <w:t>N-1</w:t>
            </w:r>
          </w:p>
        </w:tc>
      </w:tr>
      <w:tr w:rsidR="005576B2" w:rsidRPr="005A6926" w:rsidTr="009E1C33">
        <w:trPr>
          <w:trHeight w:val="402"/>
        </w:trPr>
        <w:tc>
          <w:tcPr>
            <w:tcW w:w="8046" w:type="dxa"/>
          </w:tcPr>
          <w:p w:rsidR="005576B2" w:rsidRPr="00901707" w:rsidRDefault="005576B2" w:rsidP="009C708D">
            <w:pPr>
              <w:numPr>
                <w:ilvl w:val="0"/>
                <w:numId w:val="7"/>
              </w:numPr>
              <w:spacing w:before="0" w:after="0" w:line="240" w:lineRule="auto"/>
              <w:jc w:val="left"/>
              <w:rPr>
                <w:rFonts w:cs="Times New Roman"/>
                <w:b/>
                <w:bCs/>
                <w:szCs w:val="24"/>
              </w:rPr>
            </w:pPr>
            <w:r w:rsidRPr="00901707">
              <w:rPr>
                <w:rFonts w:cs="Times New Roman"/>
                <w:b/>
                <w:bCs/>
                <w:szCs w:val="24"/>
              </w:rPr>
              <w:t>Engagements donnés</w:t>
            </w:r>
          </w:p>
          <w:p w:rsidR="005576B2" w:rsidRPr="00901707" w:rsidRDefault="005576B2" w:rsidP="005576B2">
            <w:pPr>
              <w:spacing w:before="0" w:after="0" w:line="240" w:lineRule="auto"/>
              <w:ind w:left="360" w:firstLine="0"/>
              <w:rPr>
                <w:rFonts w:cs="Times New Roman"/>
                <w:b/>
                <w:bCs/>
                <w:i/>
                <w:iCs/>
                <w:szCs w:val="24"/>
              </w:rPr>
            </w:pPr>
          </w:p>
          <w:p w:rsidR="005576B2" w:rsidRPr="00901707" w:rsidRDefault="005576B2" w:rsidP="005576B2">
            <w:pPr>
              <w:spacing w:before="0" w:after="0" w:line="240" w:lineRule="auto"/>
              <w:ind w:firstLine="0"/>
              <w:rPr>
                <w:rFonts w:cs="Times New Roman"/>
                <w:b/>
                <w:bCs/>
                <w:i/>
                <w:iCs/>
                <w:szCs w:val="24"/>
              </w:rPr>
            </w:pPr>
            <w:r w:rsidRPr="00901707">
              <w:rPr>
                <w:rFonts w:cs="Times New Roman"/>
                <w:b/>
                <w:bCs/>
                <w:i/>
                <w:iCs/>
                <w:szCs w:val="24"/>
              </w:rPr>
              <w:t>Engagement de financement</w:t>
            </w:r>
          </w:p>
          <w:p w:rsidR="005576B2" w:rsidRPr="00901707" w:rsidRDefault="005576B2" w:rsidP="009C708D">
            <w:pPr>
              <w:numPr>
                <w:ilvl w:val="0"/>
                <w:numId w:val="8"/>
              </w:numPr>
              <w:spacing w:before="0" w:after="0" w:line="240" w:lineRule="auto"/>
              <w:jc w:val="left"/>
              <w:rPr>
                <w:rFonts w:cs="Times New Roman"/>
                <w:i/>
                <w:iCs/>
                <w:szCs w:val="24"/>
              </w:rPr>
            </w:pPr>
            <w:r w:rsidRPr="00901707">
              <w:rPr>
                <w:rFonts w:cs="Times New Roman"/>
                <w:i/>
                <w:iCs/>
                <w:szCs w:val="24"/>
              </w:rPr>
              <w:t>Engagements en faveur d’établissement de crédit</w:t>
            </w:r>
          </w:p>
          <w:p w:rsidR="005576B2" w:rsidRPr="00901707" w:rsidRDefault="005576B2" w:rsidP="009C708D">
            <w:pPr>
              <w:numPr>
                <w:ilvl w:val="0"/>
                <w:numId w:val="8"/>
              </w:numPr>
              <w:spacing w:before="0" w:after="0" w:line="240" w:lineRule="auto"/>
              <w:jc w:val="left"/>
              <w:rPr>
                <w:rFonts w:cs="Times New Roman"/>
                <w:i/>
                <w:iCs/>
                <w:szCs w:val="24"/>
              </w:rPr>
            </w:pPr>
            <w:r w:rsidRPr="00901707">
              <w:rPr>
                <w:rFonts w:cs="Times New Roman"/>
                <w:i/>
                <w:iCs/>
                <w:szCs w:val="24"/>
              </w:rPr>
              <w:t>Engagements en faveur de la clientèle</w:t>
            </w:r>
          </w:p>
          <w:p w:rsidR="005576B2" w:rsidRPr="00901707" w:rsidRDefault="005576B2" w:rsidP="005576B2">
            <w:pPr>
              <w:spacing w:before="0" w:after="0" w:line="240" w:lineRule="auto"/>
              <w:ind w:firstLine="0"/>
              <w:rPr>
                <w:rFonts w:cs="Times New Roman"/>
                <w:b/>
                <w:bCs/>
                <w:i/>
                <w:iCs/>
                <w:szCs w:val="24"/>
              </w:rPr>
            </w:pPr>
            <w:r w:rsidRPr="00901707">
              <w:rPr>
                <w:rFonts w:cs="Times New Roman"/>
                <w:b/>
                <w:bCs/>
                <w:i/>
                <w:iCs/>
                <w:szCs w:val="24"/>
              </w:rPr>
              <w:t>Engagement de garantie</w:t>
            </w:r>
          </w:p>
          <w:p w:rsidR="005576B2" w:rsidRPr="00901707" w:rsidRDefault="005576B2" w:rsidP="00D95740">
            <w:pPr>
              <w:numPr>
                <w:ilvl w:val="0"/>
                <w:numId w:val="20"/>
              </w:numPr>
              <w:spacing w:before="0" w:after="0" w:line="240" w:lineRule="auto"/>
              <w:jc w:val="left"/>
              <w:rPr>
                <w:rFonts w:cs="Times New Roman"/>
                <w:i/>
                <w:iCs/>
                <w:szCs w:val="24"/>
              </w:rPr>
            </w:pPr>
            <w:r w:rsidRPr="00901707">
              <w:rPr>
                <w:rFonts w:cs="Times New Roman"/>
                <w:i/>
                <w:iCs/>
                <w:szCs w:val="24"/>
              </w:rPr>
              <w:t>Engagement d’ordre d’établissement de crédit</w:t>
            </w:r>
          </w:p>
          <w:p w:rsidR="005576B2" w:rsidRPr="00901707" w:rsidRDefault="005576B2" w:rsidP="00D95740">
            <w:pPr>
              <w:numPr>
                <w:ilvl w:val="0"/>
                <w:numId w:val="20"/>
              </w:numPr>
              <w:spacing w:before="0" w:after="0" w:line="240" w:lineRule="auto"/>
              <w:jc w:val="left"/>
              <w:rPr>
                <w:rFonts w:cs="Times New Roman"/>
                <w:i/>
                <w:iCs/>
                <w:szCs w:val="24"/>
              </w:rPr>
            </w:pPr>
            <w:r w:rsidRPr="00901707">
              <w:rPr>
                <w:rFonts w:cs="Times New Roman"/>
                <w:i/>
                <w:iCs/>
                <w:szCs w:val="24"/>
              </w:rPr>
              <w:t>Engagement d’ordre de la clientèle</w:t>
            </w:r>
          </w:p>
          <w:p w:rsidR="005576B2" w:rsidRPr="00901707" w:rsidRDefault="005576B2" w:rsidP="005576B2">
            <w:pPr>
              <w:spacing w:before="0" w:after="0" w:line="240" w:lineRule="auto"/>
              <w:ind w:firstLine="0"/>
              <w:rPr>
                <w:rFonts w:cs="Times New Roman"/>
                <w:b/>
                <w:bCs/>
                <w:i/>
                <w:iCs/>
                <w:szCs w:val="24"/>
              </w:rPr>
            </w:pPr>
            <w:r w:rsidRPr="00901707">
              <w:rPr>
                <w:rFonts w:cs="Times New Roman"/>
                <w:b/>
                <w:bCs/>
                <w:i/>
                <w:iCs/>
                <w:szCs w:val="24"/>
              </w:rPr>
              <w:t>Engagement sur titres</w:t>
            </w:r>
          </w:p>
          <w:p w:rsidR="005576B2" w:rsidRPr="00901707" w:rsidRDefault="005576B2" w:rsidP="00D95740">
            <w:pPr>
              <w:numPr>
                <w:ilvl w:val="0"/>
                <w:numId w:val="21"/>
              </w:numPr>
              <w:spacing w:before="0" w:after="0" w:line="240" w:lineRule="auto"/>
              <w:jc w:val="left"/>
              <w:rPr>
                <w:rFonts w:cs="Times New Roman"/>
                <w:i/>
                <w:iCs/>
                <w:szCs w:val="24"/>
              </w:rPr>
            </w:pPr>
            <w:r w:rsidRPr="00901707">
              <w:rPr>
                <w:rFonts w:cs="Times New Roman"/>
                <w:i/>
                <w:iCs/>
                <w:szCs w:val="24"/>
              </w:rPr>
              <w:t>Titres acquis avec faculté de rachat ou de reprise</w:t>
            </w:r>
          </w:p>
          <w:p w:rsidR="005576B2" w:rsidRPr="00901707" w:rsidRDefault="005576B2" w:rsidP="00D95740">
            <w:pPr>
              <w:numPr>
                <w:ilvl w:val="0"/>
                <w:numId w:val="21"/>
              </w:numPr>
              <w:spacing w:before="0" w:after="0" w:line="240" w:lineRule="auto"/>
              <w:jc w:val="left"/>
              <w:rPr>
                <w:rFonts w:cs="Times New Roman"/>
                <w:i/>
                <w:iCs/>
                <w:szCs w:val="24"/>
              </w:rPr>
            </w:pPr>
            <w:r w:rsidRPr="00901707">
              <w:rPr>
                <w:rFonts w:cs="Times New Roman"/>
                <w:i/>
                <w:iCs/>
                <w:szCs w:val="24"/>
              </w:rPr>
              <w:t>Autres engagements donnés</w:t>
            </w:r>
          </w:p>
          <w:p w:rsidR="005576B2" w:rsidRPr="00901707" w:rsidRDefault="005576B2" w:rsidP="005576B2">
            <w:pPr>
              <w:spacing w:before="0" w:after="0" w:line="240" w:lineRule="auto"/>
              <w:ind w:left="34" w:firstLine="0"/>
              <w:rPr>
                <w:rFonts w:cs="Times New Roman"/>
                <w:b/>
                <w:bCs/>
                <w:szCs w:val="24"/>
              </w:rPr>
            </w:pPr>
          </w:p>
          <w:p w:rsidR="005576B2" w:rsidRPr="00901707" w:rsidRDefault="005576B2" w:rsidP="009C708D">
            <w:pPr>
              <w:numPr>
                <w:ilvl w:val="0"/>
                <w:numId w:val="7"/>
              </w:numPr>
              <w:spacing w:before="0" w:after="0" w:line="240" w:lineRule="auto"/>
              <w:jc w:val="left"/>
              <w:rPr>
                <w:rFonts w:cs="Times New Roman"/>
                <w:b/>
                <w:bCs/>
                <w:szCs w:val="24"/>
              </w:rPr>
            </w:pPr>
            <w:r w:rsidRPr="00901707">
              <w:rPr>
                <w:rFonts w:cs="Times New Roman"/>
                <w:b/>
                <w:bCs/>
                <w:szCs w:val="24"/>
              </w:rPr>
              <w:t>Engagements reçus</w:t>
            </w:r>
          </w:p>
          <w:p w:rsidR="005576B2" w:rsidRPr="00901707" w:rsidRDefault="005576B2" w:rsidP="005576B2">
            <w:pPr>
              <w:spacing w:before="0" w:after="0" w:line="240" w:lineRule="auto"/>
              <w:ind w:left="360" w:firstLine="0"/>
              <w:rPr>
                <w:rFonts w:cs="Times New Roman"/>
                <w:b/>
                <w:bCs/>
                <w:i/>
                <w:iCs/>
                <w:szCs w:val="24"/>
              </w:rPr>
            </w:pPr>
            <w:r w:rsidRPr="00901707">
              <w:rPr>
                <w:rFonts w:cs="Times New Roman"/>
                <w:b/>
                <w:bCs/>
                <w:i/>
                <w:iCs/>
                <w:szCs w:val="24"/>
              </w:rPr>
              <w:t>Engagement de financement</w:t>
            </w:r>
          </w:p>
          <w:p w:rsidR="005576B2" w:rsidRPr="00901707" w:rsidRDefault="005576B2" w:rsidP="00D95740">
            <w:pPr>
              <w:numPr>
                <w:ilvl w:val="0"/>
                <w:numId w:val="22"/>
              </w:numPr>
              <w:spacing w:before="0" w:after="0" w:line="240" w:lineRule="auto"/>
              <w:jc w:val="left"/>
              <w:rPr>
                <w:rFonts w:cs="Times New Roman"/>
                <w:i/>
                <w:iCs/>
                <w:szCs w:val="24"/>
              </w:rPr>
            </w:pPr>
            <w:r w:rsidRPr="00901707">
              <w:rPr>
                <w:rFonts w:cs="Times New Roman"/>
                <w:i/>
                <w:iCs/>
                <w:szCs w:val="24"/>
              </w:rPr>
              <w:t>Engagements reçus d’établissements de crédits</w:t>
            </w:r>
          </w:p>
          <w:p w:rsidR="005576B2" w:rsidRPr="00901707" w:rsidRDefault="005576B2" w:rsidP="005576B2">
            <w:pPr>
              <w:spacing w:before="0" w:after="0" w:line="240" w:lineRule="auto"/>
              <w:ind w:firstLine="0"/>
              <w:rPr>
                <w:rFonts w:cs="Times New Roman"/>
                <w:b/>
                <w:bCs/>
                <w:i/>
                <w:iCs/>
                <w:szCs w:val="24"/>
              </w:rPr>
            </w:pPr>
            <w:r w:rsidRPr="00901707">
              <w:rPr>
                <w:rFonts w:cs="Times New Roman"/>
                <w:b/>
                <w:bCs/>
                <w:i/>
                <w:iCs/>
                <w:szCs w:val="24"/>
              </w:rPr>
              <w:t>Engagement de garantie</w:t>
            </w:r>
          </w:p>
          <w:p w:rsidR="005576B2" w:rsidRPr="00901707" w:rsidRDefault="005576B2" w:rsidP="00D95740">
            <w:pPr>
              <w:numPr>
                <w:ilvl w:val="0"/>
                <w:numId w:val="23"/>
              </w:numPr>
              <w:spacing w:before="0" w:after="0" w:line="240" w:lineRule="auto"/>
              <w:jc w:val="left"/>
              <w:rPr>
                <w:rFonts w:cs="Times New Roman"/>
                <w:i/>
                <w:iCs/>
                <w:szCs w:val="24"/>
              </w:rPr>
            </w:pPr>
            <w:r w:rsidRPr="00901707">
              <w:rPr>
                <w:rFonts w:cs="Times New Roman"/>
                <w:i/>
                <w:iCs/>
                <w:szCs w:val="24"/>
              </w:rPr>
              <w:t>Engagements reçus d’établissements de crédits</w:t>
            </w:r>
          </w:p>
          <w:p w:rsidR="005576B2" w:rsidRPr="00901707" w:rsidRDefault="005576B2" w:rsidP="005576B2">
            <w:pPr>
              <w:spacing w:before="0" w:after="0" w:line="240" w:lineRule="auto"/>
              <w:ind w:firstLine="0"/>
              <w:rPr>
                <w:rFonts w:cs="Times New Roman"/>
                <w:b/>
                <w:bCs/>
                <w:i/>
                <w:iCs/>
                <w:szCs w:val="24"/>
              </w:rPr>
            </w:pPr>
            <w:r w:rsidRPr="00901707">
              <w:rPr>
                <w:rFonts w:cs="Times New Roman"/>
                <w:b/>
                <w:bCs/>
                <w:i/>
                <w:iCs/>
                <w:szCs w:val="24"/>
              </w:rPr>
              <w:t>Engagements sur titres</w:t>
            </w:r>
          </w:p>
          <w:p w:rsidR="005576B2" w:rsidRPr="00901707" w:rsidRDefault="005576B2" w:rsidP="005576B2">
            <w:pPr>
              <w:spacing w:before="0" w:after="0" w:line="240" w:lineRule="auto"/>
              <w:ind w:firstLine="0"/>
              <w:rPr>
                <w:rFonts w:cs="Times New Roman"/>
                <w:i/>
                <w:iCs/>
                <w:szCs w:val="24"/>
              </w:rPr>
            </w:pPr>
          </w:p>
          <w:p w:rsidR="005576B2" w:rsidRPr="00901707" w:rsidRDefault="005576B2" w:rsidP="00D95740">
            <w:pPr>
              <w:numPr>
                <w:ilvl w:val="0"/>
                <w:numId w:val="24"/>
              </w:numPr>
              <w:spacing w:before="0" w:after="0" w:line="240" w:lineRule="auto"/>
              <w:jc w:val="left"/>
              <w:rPr>
                <w:rFonts w:cs="Times New Roman"/>
                <w:i/>
                <w:iCs/>
                <w:szCs w:val="24"/>
              </w:rPr>
            </w:pPr>
            <w:r w:rsidRPr="00901707">
              <w:rPr>
                <w:rFonts w:cs="Times New Roman"/>
                <w:i/>
                <w:iCs/>
                <w:szCs w:val="24"/>
              </w:rPr>
              <w:t>Titres vendus avec faculté de rachat ou de reprise</w:t>
            </w:r>
          </w:p>
          <w:p w:rsidR="005576B2" w:rsidRPr="005A6926" w:rsidRDefault="005576B2" w:rsidP="00D95740">
            <w:pPr>
              <w:numPr>
                <w:ilvl w:val="0"/>
                <w:numId w:val="24"/>
              </w:numPr>
              <w:spacing w:before="0" w:after="0" w:line="240" w:lineRule="auto"/>
              <w:jc w:val="left"/>
              <w:rPr>
                <w:rFonts w:cs="Times New Roman"/>
                <w:i/>
                <w:iCs/>
                <w:sz w:val="32"/>
                <w:szCs w:val="32"/>
              </w:rPr>
            </w:pPr>
            <w:r w:rsidRPr="00901707">
              <w:rPr>
                <w:rFonts w:cs="Times New Roman"/>
                <w:i/>
                <w:iCs/>
                <w:szCs w:val="24"/>
              </w:rPr>
              <w:t>Autres engagements reçus</w:t>
            </w:r>
          </w:p>
        </w:tc>
        <w:tc>
          <w:tcPr>
            <w:tcW w:w="878" w:type="dxa"/>
          </w:tcPr>
          <w:p w:rsidR="005576B2" w:rsidRPr="005A6926" w:rsidRDefault="005576B2" w:rsidP="005576B2">
            <w:pPr>
              <w:spacing w:before="0" w:after="0" w:line="240" w:lineRule="auto"/>
              <w:ind w:firstLine="0"/>
              <w:rPr>
                <w:rFonts w:cs="Times New Roman"/>
                <w:sz w:val="28"/>
                <w:szCs w:val="28"/>
              </w:rPr>
            </w:pPr>
          </w:p>
        </w:tc>
        <w:tc>
          <w:tcPr>
            <w:tcW w:w="851" w:type="dxa"/>
          </w:tcPr>
          <w:p w:rsidR="005576B2" w:rsidRPr="005A6926" w:rsidRDefault="005576B2" w:rsidP="005576B2">
            <w:pPr>
              <w:spacing w:before="0" w:after="0" w:line="240" w:lineRule="auto"/>
              <w:ind w:firstLine="0"/>
              <w:rPr>
                <w:rFonts w:cs="Times New Roman"/>
                <w:sz w:val="28"/>
                <w:szCs w:val="28"/>
              </w:rPr>
            </w:pPr>
          </w:p>
        </w:tc>
      </w:tr>
    </w:tbl>
    <w:p w:rsidR="005A6926" w:rsidRPr="00E13675" w:rsidRDefault="00E13675" w:rsidP="00086292">
      <w:pPr>
        <w:jc w:val="right"/>
        <w:rPr>
          <w:sz w:val="20"/>
          <w:szCs w:val="20"/>
        </w:rPr>
      </w:pPr>
      <w:r w:rsidRPr="00E13675">
        <w:rPr>
          <w:sz w:val="20"/>
          <w:szCs w:val="20"/>
        </w:rPr>
        <w:t xml:space="preserve">Source : </w:t>
      </w:r>
      <w:r w:rsidR="009F5D36">
        <w:rPr>
          <w:rFonts w:cs="Times New Roman"/>
          <w:sz w:val="20"/>
          <w:szCs w:val="20"/>
        </w:rPr>
        <w:t xml:space="preserve">Source : </w:t>
      </w:r>
      <w:r w:rsidR="00086292" w:rsidRPr="00E13675">
        <w:rPr>
          <w:rFonts w:cs="Times New Roman"/>
          <w:sz w:val="20"/>
          <w:szCs w:val="20"/>
        </w:rPr>
        <w:t>PUPION</w:t>
      </w:r>
      <w:r w:rsidR="005B33F3">
        <w:rPr>
          <w:rFonts w:cs="Times New Roman"/>
          <w:sz w:val="20"/>
          <w:szCs w:val="20"/>
        </w:rPr>
        <w:t xml:space="preserve"> </w:t>
      </w:r>
      <w:r w:rsidR="009F5D36">
        <w:rPr>
          <w:rFonts w:cs="Times New Roman"/>
          <w:sz w:val="20"/>
          <w:szCs w:val="20"/>
        </w:rPr>
        <w:t>Pierre-C</w:t>
      </w:r>
      <w:r w:rsidRPr="00E13675">
        <w:rPr>
          <w:rFonts w:cs="Times New Roman"/>
          <w:sz w:val="20"/>
          <w:szCs w:val="20"/>
        </w:rPr>
        <w:t>harles, Op Cite, P 49</w:t>
      </w:r>
    </w:p>
    <w:p w:rsidR="002964F9" w:rsidRDefault="002964F9" w:rsidP="00901707">
      <w:pPr>
        <w:spacing w:line="276" w:lineRule="auto"/>
        <w:ind w:firstLine="0"/>
        <w:rPr>
          <w:rFonts w:cs="Times New Roman"/>
          <w:b/>
          <w:bCs/>
          <w:szCs w:val="24"/>
        </w:rPr>
      </w:pPr>
    </w:p>
    <w:p w:rsidR="002964F9" w:rsidRDefault="002964F9" w:rsidP="00901707">
      <w:pPr>
        <w:spacing w:line="276" w:lineRule="auto"/>
        <w:ind w:firstLine="0"/>
        <w:rPr>
          <w:rFonts w:cs="Times New Roman"/>
          <w:b/>
          <w:bCs/>
          <w:szCs w:val="24"/>
        </w:rPr>
      </w:pPr>
    </w:p>
    <w:p w:rsidR="002964F9" w:rsidRDefault="002964F9" w:rsidP="00901707">
      <w:pPr>
        <w:spacing w:line="276" w:lineRule="auto"/>
        <w:ind w:firstLine="0"/>
        <w:rPr>
          <w:rFonts w:cs="Times New Roman"/>
          <w:b/>
          <w:bCs/>
          <w:szCs w:val="24"/>
        </w:rPr>
      </w:pPr>
    </w:p>
    <w:p w:rsidR="002964F9" w:rsidRDefault="002964F9" w:rsidP="00901707">
      <w:pPr>
        <w:spacing w:line="276" w:lineRule="auto"/>
        <w:ind w:firstLine="0"/>
        <w:rPr>
          <w:rFonts w:cs="Times New Roman"/>
          <w:b/>
          <w:bCs/>
          <w:szCs w:val="24"/>
        </w:rPr>
      </w:pPr>
    </w:p>
    <w:p w:rsidR="002964F9" w:rsidRDefault="002964F9" w:rsidP="00901707">
      <w:pPr>
        <w:spacing w:line="276" w:lineRule="auto"/>
        <w:ind w:firstLine="0"/>
        <w:rPr>
          <w:rFonts w:cs="Times New Roman"/>
          <w:b/>
          <w:bCs/>
          <w:szCs w:val="24"/>
        </w:rPr>
      </w:pPr>
    </w:p>
    <w:p w:rsidR="002964F9" w:rsidRDefault="002964F9" w:rsidP="00901707">
      <w:pPr>
        <w:spacing w:line="276" w:lineRule="auto"/>
        <w:ind w:firstLine="0"/>
        <w:rPr>
          <w:rFonts w:cs="Times New Roman"/>
          <w:b/>
          <w:bCs/>
          <w:szCs w:val="24"/>
        </w:rPr>
      </w:pPr>
    </w:p>
    <w:p w:rsidR="002964F9" w:rsidRDefault="002964F9" w:rsidP="00901707">
      <w:pPr>
        <w:spacing w:line="276" w:lineRule="auto"/>
        <w:ind w:firstLine="0"/>
        <w:rPr>
          <w:rFonts w:cs="Times New Roman"/>
          <w:b/>
          <w:bCs/>
          <w:szCs w:val="24"/>
        </w:rPr>
      </w:pPr>
    </w:p>
    <w:p w:rsidR="00757D25" w:rsidRDefault="00757D25" w:rsidP="00901707">
      <w:pPr>
        <w:spacing w:line="276" w:lineRule="auto"/>
        <w:ind w:firstLine="0"/>
        <w:rPr>
          <w:rFonts w:cs="Times New Roman"/>
          <w:b/>
          <w:bCs/>
          <w:szCs w:val="24"/>
        </w:rPr>
      </w:pPr>
    </w:p>
    <w:p w:rsidR="00757D25" w:rsidRDefault="00757D25" w:rsidP="00901707">
      <w:pPr>
        <w:spacing w:line="276" w:lineRule="auto"/>
        <w:ind w:firstLine="0"/>
        <w:rPr>
          <w:rFonts w:cs="Times New Roman"/>
          <w:b/>
          <w:bCs/>
          <w:szCs w:val="24"/>
        </w:rPr>
      </w:pPr>
    </w:p>
    <w:p w:rsidR="00E44A61" w:rsidRDefault="00E44A61" w:rsidP="00901707">
      <w:pPr>
        <w:spacing w:line="276" w:lineRule="auto"/>
        <w:ind w:firstLine="0"/>
        <w:rPr>
          <w:rFonts w:cs="Times New Roman"/>
          <w:b/>
          <w:bCs/>
          <w:szCs w:val="24"/>
        </w:rPr>
      </w:pPr>
    </w:p>
    <w:p w:rsidR="00E44A61" w:rsidRDefault="00E44A61" w:rsidP="00901707">
      <w:pPr>
        <w:spacing w:line="276" w:lineRule="auto"/>
        <w:ind w:firstLine="0"/>
        <w:rPr>
          <w:rFonts w:cs="Times New Roman"/>
          <w:b/>
          <w:bCs/>
          <w:szCs w:val="24"/>
        </w:rPr>
      </w:pPr>
    </w:p>
    <w:p w:rsidR="001D5E53" w:rsidRPr="001A3E53" w:rsidRDefault="001D5E53" w:rsidP="00901707">
      <w:pPr>
        <w:spacing w:line="276" w:lineRule="auto"/>
        <w:ind w:firstLine="0"/>
        <w:rPr>
          <w:rFonts w:cs="Times New Roman"/>
          <w:b/>
          <w:bCs/>
          <w:sz w:val="22"/>
        </w:rPr>
      </w:pPr>
      <w:r w:rsidRPr="0058792C">
        <w:rPr>
          <w:rFonts w:cs="Times New Roman"/>
          <w:b/>
          <w:bCs/>
          <w:szCs w:val="24"/>
        </w:rPr>
        <w:lastRenderedPageBreak/>
        <w:t>Tableau n°4 : Compte de résultat de la banque</w:t>
      </w:r>
      <w:r w:rsidR="00A11EB1">
        <w:rPr>
          <w:rFonts w:cs="Times New Roman"/>
          <w:b/>
          <w:bCs/>
          <w:szCs w:val="24"/>
        </w:rPr>
        <w:t xml:space="preserve">. </w:t>
      </w:r>
    </w:p>
    <w:tbl>
      <w:tblPr>
        <w:tblW w:w="9781" w:type="dxa"/>
        <w:tblInd w:w="-72" w:type="dxa"/>
        <w:tblCellMar>
          <w:left w:w="70" w:type="dxa"/>
          <w:right w:w="70" w:type="dxa"/>
        </w:tblCellMar>
        <w:tblLook w:val="00A0" w:firstRow="1" w:lastRow="0" w:firstColumn="1" w:lastColumn="0" w:noHBand="0" w:noVBand="0"/>
      </w:tblPr>
      <w:tblGrid>
        <w:gridCol w:w="3907"/>
        <w:gridCol w:w="305"/>
        <w:gridCol w:w="536"/>
        <w:gridCol w:w="3842"/>
        <w:gridCol w:w="303"/>
        <w:gridCol w:w="888"/>
      </w:tblGrid>
      <w:tr w:rsidR="005A6926" w:rsidRPr="00C161AE" w:rsidTr="009E1C33">
        <w:trPr>
          <w:trHeight w:val="119"/>
        </w:trPr>
        <w:tc>
          <w:tcPr>
            <w:tcW w:w="4748" w:type="dxa"/>
            <w:gridSpan w:val="3"/>
            <w:tcBorders>
              <w:top w:val="single" w:sz="8" w:space="0" w:color="auto"/>
              <w:left w:val="single" w:sz="8" w:space="0" w:color="auto"/>
              <w:bottom w:val="single" w:sz="8" w:space="0" w:color="auto"/>
              <w:right w:val="single" w:sz="8" w:space="0" w:color="000000"/>
            </w:tcBorders>
            <w:noWrap/>
            <w:vAlign w:val="center"/>
          </w:tcPr>
          <w:p w:rsidR="005A6926" w:rsidRPr="00C161AE" w:rsidRDefault="005A6926" w:rsidP="005A6926">
            <w:pPr>
              <w:spacing w:before="0" w:after="0" w:line="240" w:lineRule="auto"/>
              <w:ind w:firstLine="0"/>
              <w:rPr>
                <w:rFonts w:cs="Times New Roman"/>
                <w:b/>
                <w:bCs/>
                <w:color w:val="000000"/>
              </w:rPr>
            </w:pPr>
            <w:r w:rsidRPr="00C161AE">
              <w:rPr>
                <w:rFonts w:cs="Times New Roman"/>
                <w:b/>
                <w:bCs/>
                <w:color w:val="000000"/>
                <w:sz w:val="22"/>
              </w:rPr>
              <w:t>CHARGES</w:t>
            </w:r>
          </w:p>
        </w:tc>
        <w:tc>
          <w:tcPr>
            <w:tcW w:w="5033" w:type="dxa"/>
            <w:gridSpan w:val="3"/>
            <w:tcBorders>
              <w:top w:val="single" w:sz="8" w:space="0" w:color="auto"/>
              <w:left w:val="nil"/>
              <w:bottom w:val="single" w:sz="8" w:space="0" w:color="auto"/>
              <w:right w:val="single" w:sz="8" w:space="0" w:color="000000"/>
            </w:tcBorders>
            <w:noWrap/>
            <w:vAlign w:val="center"/>
          </w:tcPr>
          <w:p w:rsidR="005A6926" w:rsidRPr="00C161AE" w:rsidRDefault="005A6926" w:rsidP="005A6926">
            <w:pPr>
              <w:spacing w:before="0" w:after="0" w:line="240" w:lineRule="auto"/>
              <w:ind w:firstLine="0"/>
              <w:rPr>
                <w:rFonts w:cs="Times New Roman"/>
                <w:b/>
                <w:bCs/>
                <w:color w:val="000000"/>
              </w:rPr>
            </w:pPr>
            <w:r w:rsidRPr="00C161AE">
              <w:rPr>
                <w:rFonts w:cs="Times New Roman"/>
                <w:b/>
                <w:bCs/>
                <w:color w:val="000000"/>
                <w:sz w:val="22"/>
              </w:rPr>
              <w:t>PRODUITS</w:t>
            </w:r>
          </w:p>
        </w:tc>
      </w:tr>
      <w:tr w:rsidR="005A6926" w:rsidRPr="00C161AE" w:rsidTr="009E1C33">
        <w:trPr>
          <w:trHeight w:val="261"/>
        </w:trPr>
        <w:tc>
          <w:tcPr>
            <w:tcW w:w="3907" w:type="dxa"/>
            <w:tcBorders>
              <w:top w:val="nil"/>
              <w:left w:val="single" w:sz="8" w:space="0" w:color="auto"/>
              <w:bottom w:val="single" w:sz="8" w:space="0" w:color="auto"/>
              <w:right w:val="single" w:sz="8" w:space="0" w:color="auto"/>
            </w:tcBorders>
            <w:noWrap/>
            <w:vAlign w:val="center"/>
          </w:tcPr>
          <w:p w:rsidR="005A6926" w:rsidRPr="00C161AE" w:rsidRDefault="005A6926" w:rsidP="005A6926">
            <w:pPr>
              <w:spacing w:before="0" w:after="0" w:line="240" w:lineRule="auto"/>
              <w:ind w:firstLine="0"/>
              <w:rPr>
                <w:rFonts w:cs="Times New Roman"/>
                <w:b/>
                <w:bCs/>
                <w:color w:val="000000"/>
              </w:rPr>
            </w:pPr>
            <w:r w:rsidRPr="00C161AE">
              <w:rPr>
                <w:rFonts w:cs="Times New Roman"/>
                <w:b/>
                <w:bCs/>
                <w:color w:val="000000"/>
                <w:sz w:val="22"/>
              </w:rPr>
              <w:t>Charges d'exploitation bancaire</w:t>
            </w:r>
          </w:p>
        </w:tc>
        <w:tc>
          <w:tcPr>
            <w:tcW w:w="305" w:type="dxa"/>
            <w:tcBorders>
              <w:top w:val="nil"/>
              <w:left w:val="nil"/>
              <w:bottom w:val="single" w:sz="8" w:space="0" w:color="auto"/>
              <w:right w:val="single" w:sz="8" w:space="0" w:color="auto"/>
            </w:tcBorders>
            <w:noWrap/>
            <w:vAlign w:val="center"/>
          </w:tcPr>
          <w:p w:rsidR="005A6926" w:rsidRPr="00C161AE" w:rsidRDefault="005A6926" w:rsidP="005A6926">
            <w:pPr>
              <w:spacing w:before="0" w:after="0" w:line="240" w:lineRule="auto"/>
              <w:ind w:firstLine="0"/>
              <w:rPr>
                <w:rFonts w:cs="Times New Roman"/>
                <w:b/>
                <w:bCs/>
                <w:color w:val="000000"/>
              </w:rPr>
            </w:pPr>
            <w:r w:rsidRPr="00C161AE">
              <w:rPr>
                <w:rFonts w:cs="Times New Roman"/>
                <w:b/>
                <w:bCs/>
                <w:color w:val="000000"/>
                <w:sz w:val="22"/>
              </w:rPr>
              <w:t>N</w:t>
            </w:r>
          </w:p>
        </w:tc>
        <w:tc>
          <w:tcPr>
            <w:tcW w:w="536" w:type="dxa"/>
            <w:tcBorders>
              <w:top w:val="nil"/>
              <w:left w:val="nil"/>
              <w:bottom w:val="single" w:sz="8" w:space="0" w:color="auto"/>
              <w:right w:val="single" w:sz="4" w:space="0" w:color="auto"/>
            </w:tcBorders>
            <w:noWrap/>
            <w:vAlign w:val="center"/>
          </w:tcPr>
          <w:p w:rsidR="005A6926" w:rsidRPr="00C161AE" w:rsidRDefault="005A6926" w:rsidP="005A6926">
            <w:pPr>
              <w:spacing w:before="0" w:after="0" w:line="240" w:lineRule="auto"/>
              <w:ind w:firstLine="0"/>
              <w:rPr>
                <w:rFonts w:cs="Times New Roman"/>
                <w:b/>
                <w:bCs/>
                <w:color w:val="000000"/>
              </w:rPr>
            </w:pPr>
            <w:r w:rsidRPr="00C161AE">
              <w:rPr>
                <w:rFonts w:cs="Times New Roman"/>
                <w:b/>
                <w:bCs/>
                <w:color w:val="000000"/>
                <w:sz w:val="22"/>
              </w:rPr>
              <w:t>N-1</w:t>
            </w:r>
          </w:p>
        </w:tc>
        <w:tc>
          <w:tcPr>
            <w:tcW w:w="3842" w:type="dxa"/>
            <w:tcBorders>
              <w:top w:val="nil"/>
              <w:left w:val="nil"/>
              <w:bottom w:val="single" w:sz="8" w:space="0" w:color="auto"/>
              <w:right w:val="single" w:sz="4" w:space="0" w:color="auto"/>
            </w:tcBorders>
            <w:noWrap/>
            <w:vAlign w:val="center"/>
          </w:tcPr>
          <w:p w:rsidR="005A6926" w:rsidRPr="00C161AE" w:rsidRDefault="005A6926" w:rsidP="005A6926">
            <w:pPr>
              <w:spacing w:before="0" w:after="0" w:line="240" w:lineRule="auto"/>
              <w:ind w:firstLine="0"/>
              <w:rPr>
                <w:rFonts w:cs="Times New Roman"/>
                <w:b/>
                <w:bCs/>
                <w:color w:val="000000"/>
              </w:rPr>
            </w:pPr>
            <w:r w:rsidRPr="00C161AE">
              <w:rPr>
                <w:rFonts w:cs="Times New Roman"/>
                <w:b/>
                <w:bCs/>
                <w:color w:val="000000"/>
                <w:sz w:val="22"/>
              </w:rPr>
              <w:t>Produits d'exploitation bancaires</w:t>
            </w:r>
          </w:p>
        </w:tc>
        <w:tc>
          <w:tcPr>
            <w:tcW w:w="303" w:type="dxa"/>
            <w:tcBorders>
              <w:top w:val="nil"/>
              <w:left w:val="nil"/>
              <w:bottom w:val="single" w:sz="8" w:space="0" w:color="auto"/>
              <w:right w:val="single" w:sz="4" w:space="0" w:color="auto"/>
            </w:tcBorders>
            <w:noWrap/>
            <w:vAlign w:val="center"/>
          </w:tcPr>
          <w:p w:rsidR="005A6926" w:rsidRPr="00C161AE" w:rsidRDefault="005A6926" w:rsidP="005A6926">
            <w:pPr>
              <w:spacing w:before="0" w:after="0" w:line="240" w:lineRule="auto"/>
              <w:ind w:firstLine="0"/>
              <w:rPr>
                <w:rFonts w:cs="Times New Roman"/>
                <w:b/>
                <w:bCs/>
                <w:color w:val="000000"/>
              </w:rPr>
            </w:pPr>
            <w:r w:rsidRPr="00C161AE">
              <w:rPr>
                <w:rFonts w:cs="Times New Roman"/>
                <w:b/>
                <w:bCs/>
                <w:color w:val="000000"/>
                <w:sz w:val="22"/>
              </w:rPr>
              <w:t>N</w:t>
            </w:r>
          </w:p>
        </w:tc>
        <w:tc>
          <w:tcPr>
            <w:tcW w:w="888" w:type="dxa"/>
            <w:tcBorders>
              <w:top w:val="nil"/>
              <w:left w:val="nil"/>
              <w:bottom w:val="single" w:sz="8" w:space="0" w:color="auto"/>
              <w:right w:val="single" w:sz="8" w:space="0" w:color="auto"/>
            </w:tcBorders>
            <w:noWrap/>
            <w:vAlign w:val="center"/>
          </w:tcPr>
          <w:p w:rsidR="005A6926" w:rsidRPr="00C161AE" w:rsidRDefault="005A6926" w:rsidP="005A6926">
            <w:pPr>
              <w:spacing w:before="0" w:after="0" w:line="240" w:lineRule="auto"/>
              <w:ind w:firstLine="0"/>
              <w:rPr>
                <w:rFonts w:cs="Times New Roman"/>
                <w:b/>
                <w:bCs/>
                <w:color w:val="000000"/>
              </w:rPr>
            </w:pPr>
            <w:r w:rsidRPr="00C161AE">
              <w:rPr>
                <w:rFonts w:cs="Times New Roman"/>
                <w:b/>
                <w:bCs/>
                <w:color w:val="000000"/>
                <w:sz w:val="22"/>
              </w:rPr>
              <w:t>N-1</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1- intérêts et charges assimilées</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1- Intérêts et produits assimilés</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C161AE">
            <w:pPr>
              <w:spacing w:before="0" w:after="0" w:line="240" w:lineRule="auto"/>
              <w:ind w:firstLineChars="100" w:firstLine="220"/>
              <w:rPr>
                <w:rFonts w:cs="Times New Roman"/>
                <w:color w:val="000000"/>
              </w:rPr>
            </w:pPr>
            <w:r w:rsidRPr="00C161AE">
              <w:rPr>
                <w:rFonts w:cs="Times New Roman"/>
                <w:color w:val="000000"/>
                <w:sz w:val="22"/>
              </w:rPr>
              <w:t xml:space="preserve"> - Sur opérations avec les établissements de crédit</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Sur opérations avec les établissements de crédit</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Sur opérations avec la clientèle</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Sur opérations avec la clientèle</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Sur obligations et autres titres à revenu fixe</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Sur obligations et autres titres à revenu fixe</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 xml:space="preserve"> Autres intérêts et charges assimilées</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Autres intérêts et produits assimilés</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4212" w:type="dxa"/>
            <w:gridSpan w:val="2"/>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2- Charges sur opérations de crédit-bail et de location avec option d’achat</w:t>
            </w: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2- Produits sur opérations de crédit-bail et de location avec option d’achat</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3- Charges sur opérations de location simple</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3- Produits sur opérations de location simple</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4- Charges de commissions et de titres</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4- Revenu des titres à revenu variable</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5- Pertes sur opérations financières</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5- Commissions</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xml:space="preserve">    Solde en perte des opérations :</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6- Gains sur opérations financières</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Sur titres de transaction</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xml:space="preserve">    Solde en bénéfice des opérations: </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 xml:space="preserve">Sur titres de placement  </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Sur titres de transaction</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De change</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Sur titres de placement</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Sur instruments financiers</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De change</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8"/>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Sur instruments financiers</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261"/>
        </w:trPr>
        <w:tc>
          <w:tcPr>
            <w:tcW w:w="4748" w:type="dxa"/>
            <w:gridSpan w:val="3"/>
            <w:tcBorders>
              <w:top w:val="single" w:sz="8" w:space="0" w:color="auto"/>
              <w:left w:val="single" w:sz="8" w:space="0" w:color="auto"/>
              <w:bottom w:val="single" w:sz="8" w:space="0" w:color="auto"/>
              <w:right w:val="single" w:sz="8" w:space="0" w:color="000000"/>
            </w:tcBorders>
            <w:noWrap/>
            <w:vAlign w:val="center"/>
          </w:tcPr>
          <w:p w:rsidR="005A6926" w:rsidRPr="00C161AE" w:rsidRDefault="005A6926" w:rsidP="005A6926">
            <w:pPr>
              <w:spacing w:before="0" w:after="0" w:line="240" w:lineRule="auto"/>
              <w:ind w:firstLine="0"/>
              <w:rPr>
                <w:rFonts w:cs="Times New Roman"/>
                <w:b/>
                <w:bCs/>
                <w:color w:val="000000"/>
              </w:rPr>
            </w:pPr>
            <w:r w:rsidRPr="00C161AE">
              <w:rPr>
                <w:rFonts w:cs="Times New Roman"/>
                <w:b/>
                <w:bCs/>
                <w:color w:val="000000"/>
                <w:sz w:val="22"/>
              </w:rPr>
              <w:t>AUTRES CHARGES ORDINAIRES</w:t>
            </w:r>
          </w:p>
        </w:tc>
        <w:tc>
          <w:tcPr>
            <w:tcW w:w="5033" w:type="dxa"/>
            <w:gridSpan w:val="3"/>
            <w:tcBorders>
              <w:top w:val="single" w:sz="8" w:space="0" w:color="auto"/>
              <w:left w:val="nil"/>
              <w:bottom w:val="single" w:sz="8" w:space="0" w:color="auto"/>
              <w:right w:val="single" w:sz="8" w:space="0" w:color="000000"/>
            </w:tcBorders>
            <w:noWrap/>
            <w:vAlign w:val="center"/>
          </w:tcPr>
          <w:p w:rsidR="005A6926" w:rsidRPr="00C161AE" w:rsidRDefault="005A6926" w:rsidP="005A6926">
            <w:pPr>
              <w:spacing w:before="0" w:after="0" w:line="240" w:lineRule="auto"/>
              <w:ind w:firstLine="0"/>
              <w:rPr>
                <w:rFonts w:cs="Times New Roman"/>
                <w:b/>
                <w:bCs/>
                <w:color w:val="000000"/>
              </w:rPr>
            </w:pPr>
            <w:r w:rsidRPr="00C161AE">
              <w:rPr>
                <w:rFonts w:cs="Times New Roman"/>
                <w:b/>
                <w:bCs/>
                <w:color w:val="000000"/>
                <w:sz w:val="22"/>
              </w:rPr>
              <w:t>AUTRES PRODUITS ORDINAIRES</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6- Charges générales d'exploitation</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7- Solde en bénéfice des corrections de valeurs sur créances et du hors bilan</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Frais personnels</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8- Solde en bénéfice des corrections de valeurs sur immobilisations financières</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Autres frais administratifs</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9- Excédents des reprises sur les dotations des fonds pour risques bancaires généraux</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xml:space="preserve">7- Dotations aux amortissements et provisions </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xml:space="preserve">10 - Autres produits d'exploitation </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8- Autres charges d'exploitation</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3842" w:type="dxa"/>
            <w:tcBorders>
              <w:top w:val="nil"/>
              <w:left w:val="single" w:sz="8" w:space="0" w:color="auto"/>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Autres produits d'exploitation bancaires, dont celles sur opérations de promotion immobilière</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9- Solde en perte de correction de valeur sur</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3842" w:type="dxa"/>
            <w:tcBorders>
              <w:top w:val="nil"/>
              <w:left w:val="single" w:sz="8" w:space="0" w:color="auto"/>
              <w:bottom w:val="nil"/>
              <w:right w:val="nil"/>
            </w:tcBorders>
            <w:noWrap/>
            <w:vAlign w:val="bottom"/>
          </w:tcPr>
          <w:p w:rsidR="005A6926" w:rsidRPr="00C161AE" w:rsidRDefault="005A6926" w:rsidP="009C708D">
            <w:pPr>
              <w:numPr>
                <w:ilvl w:val="0"/>
                <w:numId w:val="9"/>
              </w:numPr>
              <w:spacing w:before="0" w:after="0" w:line="240" w:lineRule="auto"/>
              <w:jc w:val="left"/>
              <w:rPr>
                <w:rFonts w:cs="Times New Roman"/>
                <w:color w:val="000000"/>
              </w:rPr>
            </w:pPr>
            <w:r w:rsidRPr="00C161AE">
              <w:rPr>
                <w:rFonts w:cs="Times New Roman"/>
                <w:color w:val="000000"/>
                <w:sz w:val="22"/>
              </w:rPr>
              <w:t>Autres produits d'exploitation non bancaires, dont reprise sur provision réglementées</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0"/>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10- Solde en perte de correction de valeur sur</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11- Résultats ordinaires avant impôt</w:t>
            </w: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8"/>
        </w:trPr>
        <w:tc>
          <w:tcPr>
            <w:tcW w:w="3907" w:type="dxa"/>
            <w:tcBorders>
              <w:top w:val="nil"/>
              <w:left w:val="single" w:sz="8" w:space="0" w:color="auto"/>
              <w:bottom w:val="single" w:sz="8" w:space="0" w:color="auto"/>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11- Excédents des dotations sur les reprises de fonds pour risques bancaires.</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single" w:sz="8" w:space="0" w:color="auto"/>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303"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888"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8"/>
        </w:trPr>
        <w:tc>
          <w:tcPr>
            <w:tcW w:w="3907" w:type="dxa"/>
            <w:tcBorders>
              <w:top w:val="nil"/>
              <w:left w:val="single" w:sz="8" w:space="0" w:color="auto"/>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Charges exceptionnelles</w:t>
            </w:r>
          </w:p>
        </w:tc>
        <w:tc>
          <w:tcPr>
            <w:tcW w:w="305" w:type="dxa"/>
            <w:tcBorders>
              <w:top w:val="single" w:sz="8" w:space="0" w:color="auto"/>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536" w:type="dxa"/>
            <w:tcBorders>
              <w:top w:val="nil"/>
              <w:left w:val="nil"/>
              <w:bottom w:val="nil"/>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single" w:sz="8" w:space="0" w:color="auto"/>
              <w:left w:val="nil"/>
              <w:bottom w:val="single" w:sz="8" w:space="0" w:color="auto"/>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xml:space="preserve">Produits exceptionnels </w:t>
            </w:r>
          </w:p>
        </w:tc>
        <w:tc>
          <w:tcPr>
            <w:tcW w:w="303" w:type="dxa"/>
            <w:tcBorders>
              <w:top w:val="single" w:sz="8" w:space="0" w:color="auto"/>
              <w:left w:val="nil"/>
              <w:bottom w:val="single" w:sz="8" w:space="0" w:color="auto"/>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888" w:type="dxa"/>
            <w:tcBorders>
              <w:top w:val="single" w:sz="8" w:space="0" w:color="auto"/>
              <w:left w:val="nil"/>
              <w:bottom w:val="single" w:sz="8" w:space="0" w:color="auto"/>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9E1C33">
        <w:trPr>
          <w:trHeight w:val="138"/>
        </w:trPr>
        <w:tc>
          <w:tcPr>
            <w:tcW w:w="3907" w:type="dxa"/>
            <w:tcBorders>
              <w:top w:val="single" w:sz="8" w:space="0" w:color="auto"/>
              <w:left w:val="single" w:sz="8" w:space="0" w:color="auto"/>
              <w:bottom w:val="single" w:sz="8" w:space="0" w:color="auto"/>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Impôts sur les bénéfices</w:t>
            </w:r>
          </w:p>
        </w:tc>
        <w:tc>
          <w:tcPr>
            <w:tcW w:w="305" w:type="dxa"/>
            <w:tcBorders>
              <w:top w:val="single" w:sz="8" w:space="0" w:color="auto"/>
              <w:left w:val="nil"/>
              <w:bottom w:val="single" w:sz="8" w:space="0" w:color="auto"/>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536" w:type="dxa"/>
            <w:tcBorders>
              <w:top w:val="single" w:sz="8" w:space="0" w:color="auto"/>
              <w:left w:val="nil"/>
              <w:bottom w:val="single" w:sz="8" w:space="0" w:color="auto"/>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3842" w:type="dxa"/>
            <w:tcBorders>
              <w:top w:val="nil"/>
              <w:left w:val="nil"/>
              <w:bottom w:val="single" w:sz="8" w:space="0" w:color="auto"/>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Résultat exceptionnel avant impôt</w:t>
            </w:r>
          </w:p>
        </w:tc>
        <w:tc>
          <w:tcPr>
            <w:tcW w:w="303" w:type="dxa"/>
            <w:tcBorders>
              <w:top w:val="nil"/>
              <w:left w:val="nil"/>
              <w:bottom w:val="single" w:sz="8" w:space="0" w:color="auto"/>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888" w:type="dxa"/>
            <w:tcBorders>
              <w:top w:val="nil"/>
              <w:left w:val="nil"/>
              <w:bottom w:val="single" w:sz="8" w:space="0" w:color="auto"/>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r w:rsidR="005A6926" w:rsidRPr="00C161AE" w:rsidTr="00C161AE">
        <w:trPr>
          <w:trHeight w:val="67"/>
        </w:trPr>
        <w:tc>
          <w:tcPr>
            <w:tcW w:w="3907" w:type="dxa"/>
            <w:tcBorders>
              <w:top w:val="nil"/>
              <w:left w:val="single" w:sz="8" w:space="0" w:color="auto"/>
              <w:bottom w:val="single" w:sz="8" w:space="0" w:color="auto"/>
              <w:right w:val="nil"/>
            </w:tcBorders>
            <w:noWrap/>
            <w:vAlign w:val="bottom"/>
          </w:tcPr>
          <w:p w:rsidR="005A6926" w:rsidRPr="00C161AE" w:rsidRDefault="00CC0573" w:rsidP="005A6926">
            <w:pPr>
              <w:spacing w:before="0" w:after="0" w:line="240" w:lineRule="auto"/>
              <w:ind w:firstLine="0"/>
              <w:rPr>
                <w:rFonts w:cs="Times New Roman"/>
                <w:color w:val="000000"/>
              </w:rPr>
            </w:pPr>
            <w:r>
              <w:rPr>
                <w:rFonts w:ascii="Calibri" w:hAnsi="Calibri"/>
                <w:noProof/>
                <w:sz w:val="22"/>
              </w:rPr>
              <mc:AlternateContent>
                <mc:Choice Requires="wps">
                  <w:drawing>
                    <wp:anchor distT="4294967294" distB="4294967294" distL="114300" distR="114300" simplePos="0" relativeHeight="251661312" behindDoc="0" locked="0" layoutInCell="1" allowOverlap="1" wp14:anchorId="5A3F7D4A" wp14:editId="50B674B2">
                      <wp:simplePos x="0" y="0"/>
                      <wp:positionH relativeFrom="column">
                        <wp:posOffset>2428240</wp:posOffset>
                      </wp:positionH>
                      <wp:positionV relativeFrom="paragraph">
                        <wp:posOffset>158114</wp:posOffset>
                      </wp:positionV>
                      <wp:extent cx="542290" cy="0"/>
                      <wp:effectExtent l="0" t="0" r="10160" b="19050"/>
                      <wp:wrapNone/>
                      <wp:docPr id="37" name="Connecteur droit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2290" cy="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20" o:spid="_x0000_s1026" style="position:absolute;flip:y;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91.2pt,12.45pt" to="233.9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" strokecolor="#4579b8"/>
                  </w:pict>
                </mc:Fallback>
              </mc:AlternateContent>
            </w:r>
            <w:r w:rsidR="005A6926" w:rsidRPr="00C161AE">
              <w:rPr>
                <w:rFonts w:cs="Times New Roman"/>
                <w:color w:val="000000"/>
                <w:sz w:val="22"/>
              </w:rPr>
              <w:t>Bénéfice de l'exercice</w:t>
            </w:r>
          </w:p>
        </w:tc>
        <w:tc>
          <w:tcPr>
            <w:tcW w:w="305"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536" w:type="dxa"/>
            <w:tcBorders>
              <w:top w:val="nil"/>
              <w:left w:val="nil"/>
              <w:bottom w:val="nil"/>
              <w:right w:val="nil"/>
            </w:tcBorders>
            <w:noWrap/>
            <w:vAlign w:val="bottom"/>
          </w:tcPr>
          <w:p w:rsidR="005A6926" w:rsidRPr="00C161AE" w:rsidRDefault="005A6926" w:rsidP="005A6926">
            <w:pPr>
              <w:spacing w:before="0" w:after="0" w:line="240" w:lineRule="auto"/>
              <w:ind w:firstLine="0"/>
              <w:rPr>
                <w:rFonts w:cs="Times New Roman"/>
                <w:color w:val="000000"/>
              </w:rPr>
            </w:pPr>
          </w:p>
        </w:tc>
        <w:tc>
          <w:tcPr>
            <w:tcW w:w="3842" w:type="dxa"/>
            <w:tcBorders>
              <w:top w:val="nil"/>
              <w:left w:val="single" w:sz="8" w:space="0" w:color="auto"/>
              <w:bottom w:val="single" w:sz="8" w:space="0" w:color="auto"/>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Perte de l'exercice</w:t>
            </w:r>
          </w:p>
        </w:tc>
        <w:tc>
          <w:tcPr>
            <w:tcW w:w="303" w:type="dxa"/>
            <w:tcBorders>
              <w:top w:val="nil"/>
              <w:left w:val="nil"/>
              <w:bottom w:val="single" w:sz="8" w:space="0" w:color="auto"/>
              <w:right w:val="nil"/>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c>
          <w:tcPr>
            <w:tcW w:w="888" w:type="dxa"/>
            <w:tcBorders>
              <w:top w:val="nil"/>
              <w:left w:val="nil"/>
              <w:bottom w:val="single" w:sz="8" w:space="0" w:color="auto"/>
              <w:right w:val="single" w:sz="8" w:space="0" w:color="auto"/>
            </w:tcBorders>
            <w:noWrap/>
            <w:vAlign w:val="bottom"/>
          </w:tcPr>
          <w:p w:rsidR="005A6926" w:rsidRPr="00C161AE" w:rsidRDefault="005A6926" w:rsidP="005A6926">
            <w:pPr>
              <w:spacing w:before="0" w:after="0" w:line="240" w:lineRule="auto"/>
              <w:ind w:firstLine="0"/>
              <w:rPr>
                <w:rFonts w:cs="Times New Roman"/>
                <w:color w:val="000000"/>
              </w:rPr>
            </w:pPr>
            <w:r w:rsidRPr="00C161AE">
              <w:rPr>
                <w:rFonts w:cs="Times New Roman"/>
                <w:color w:val="000000"/>
                <w:sz w:val="22"/>
              </w:rPr>
              <w:t> </w:t>
            </w:r>
          </w:p>
        </w:tc>
      </w:tr>
    </w:tbl>
    <w:p w:rsidR="001D5E53" w:rsidRDefault="00E13675" w:rsidP="00086292">
      <w:pPr>
        <w:jc w:val="right"/>
        <w:rPr>
          <w:rFonts w:cs="Times New Roman"/>
          <w:szCs w:val="24"/>
        </w:rPr>
      </w:pPr>
      <w:r w:rsidRPr="00E13675">
        <w:rPr>
          <w:rFonts w:cs="Times New Roman"/>
          <w:sz w:val="20"/>
          <w:szCs w:val="20"/>
        </w:rPr>
        <w:t xml:space="preserve">Source : </w:t>
      </w:r>
      <w:r w:rsidR="00086292" w:rsidRPr="00E13675">
        <w:rPr>
          <w:rFonts w:cs="Times New Roman"/>
          <w:sz w:val="20"/>
          <w:szCs w:val="20"/>
        </w:rPr>
        <w:t xml:space="preserve">PUPION </w:t>
      </w:r>
      <w:r w:rsidRPr="00E13675">
        <w:rPr>
          <w:rFonts w:cs="Times New Roman"/>
          <w:sz w:val="20"/>
          <w:szCs w:val="20"/>
        </w:rPr>
        <w:t>Pierre-</w:t>
      </w:r>
      <w:r w:rsidR="00AC2B20">
        <w:rPr>
          <w:rFonts w:cs="Times New Roman"/>
          <w:sz w:val="20"/>
          <w:szCs w:val="20"/>
        </w:rPr>
        <w:t>C</w:t>
      </w:r>
      <w:r w:rsidRPr="00E13675">
        <w:rPr>
          <w:rFonts w:cs="Times New Roman"/>
          <w:sz w:val="20"/>
          <w:szCs w:val="20"/>
        </w:rPr>
        <w:t>harles</w:t>
      </w:r>
      <w:r w:rsidR="005B33F3">
        <w:rPr>
          <w:rFonts w:cs="Times New Roman"/>
          <w:sz w:val="20"/>
          <w:szCs w:val="20"/>
        </w:rPr>
        <w:t xml:space="preserve"> </w:t>
      </w:r>
      <w:r>
        <w:rPr>
          <w:rFonts w:cs="Times New Roman"/>
          <w:sz w:val="20"/>
          <w:szCs w:val="20"/>
        </w:rPr>
        <w:t>P 59-60</w:t>
      </w:r>
    </w:p>
    <w:p w:rsidR="002964F9" w:rsidRDefault="002964F9" w:rsidP="001D5E53">
      <w:pPr>
        <w:rPr>
          <w:rFonts w:cs="Times New Roman"/>
          <w:szCs w:val="24"/>
        </w:rPr>
      </w:pPr>
    </w:p>
    <w:p w:rsidR="001D5E53" w:rsidRPr="0058792C" w:rsidRDefault="001D5E53" w:rsidP="001D5E53">
      <w:pPr>
        <w:rPr>
          <w:rFonts w:cs="Times New Roman"/>
          <w:szCs w:val="24"/>
        </w:rPr>
      </w:pPr>
      <w:r w:rsidRPr="0058792C">
        <w:rPr>
          <w:rFonts w:cs="Times New Roman"/>
          <w:szCs w:val="24"/>
        </w:rPr>
        <w:t xml:space="preserve">Les éléments inscrits au passif et à l’actif engendrent directement des flux de charges et de produits (intérêts versés et reçus). Les autres flux de produits correspondent essentiellement à des commissions qui rémunèrent les prestations de services offerts par les banques, </w:t>
      </w:r>
      <w:r>
        <w:rPr>
          <w:rFonts w:cs="Times New Roman"/>
          <w:szCs w:val="24"/>
        </w:rPr>
        <w:t>tandis</w:t>
      </w:r>
      <w:r w:rsidRPr="0058792C">
        <w:rPr>
          <w:rFonts w:cs="Times New Roman"/>
          <w:szCs w:val="24"/>
        </w:rPr>
        <w:t xml:space="preserve"> que les autres flux de charges concernent essentiellement les frais généraux.</w:t>
      </w: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2964F9" w:rsidRDefault="002964F9" w:rsidP="005B4339">
      <w:pPr>
        <w:pStyle w:val="Titre1"/>
      </w:pPr>
    </w:p>
    <w:p w:rsidR="001D5E53" w:rsidRPr="005B4339" w:rsidRDefault="001D5E53" w:rsidP="005B4339">
      <w:pPr>
        <w:pStyle w:val="Titre1"/>
      </w:pPr>
      <w:bookmarkStart w:id="48" w:name="_Toc431980006"/>
      <w:r w:rsidRPr="005B4339">
        <w:lastRenderedPageBreak/>
        <w:t>CONCLUSION</w:t>
      </w:r>
      <w:bookmarkEnd w:id="48"/>
    </w:p>
    <w:p w:rsidR="001D5E53" w:rsidRPr="0058792C" w:rsidRDefault="001D5E53" w:rsidP="00086292">
      <w:pPr>
        <w:ind w:firstLine="708"/>
        <w:rPr>
          <w:rFonts w:cs="Times New Roman"/>
          <w:szCs w:val="24"/>
        </w:rPr>
      </w:pPr>
      <w:r w:rsidRPr="0058792C">
        <w:rPr>
          <w:rFonts w:cs="Times New Roman"/>
          <w:szCs w:val="24"/>
        </w:rPr>
        <w:t xml:space="preserve">Le système bancaire algérien a connu une évolution progressive et remarquable entre la période de planification centralisée et celle de la décentralisation. </w:t>
      </w:r>
      <w:r w:rsidRPr="006473D9">
        <w:rPr>
          <w:rFonts w:cs="Times New Roman"/>
          <w:szCs w:val="24"/>
        </w:rPr>
        <w:t>En effet, ce système est passé par deux principales phases, celle où le système était considéré comme véritablement «</w:t>
      </w:r>
      <w:r w:rsidRPr="009A28E6">
        <w:rPr>
          <w:rFonts w:cs="Times New Roman"/>
          <w:szCs w:val="24"/>
        </w:rPr>
        <w:t> </w:t>
      </w:r>
      <w:r w:rsidRPr="006473D9">
        <w:rPr>
          <w:rFonts w:cs="Times New Roman"/>
          <w:szCs w:val="24"/>
        </w:rPr>
        <w:t>national</w:t>
      </w:r>
      <w:r w:rsidRPr="009A28E6">
        <w:rPr>
          <w:rFonts w:cs="Times New Roman"/>
          <w:szCs w:val="24"/>
        </w:rPr>
        <w:t> </w:t>
      </w:r>
      <w:r w:rsidRPr="006473D9">
        <w:rPr>
          <w:rFonts w:cs="Times New Roman"/>
          <w:szCs w:val="24"/>
        </w:rPr>
        <w:t>», mais fermé sur lui-même</w:t>
      </w:r>
      <w:r w:rsidR="0063173A">
        <w:rPr>
          <w:rFonts w:cs="Times New Roman"/>
          <w:szCs w:val="24"/>
        </w:rPr>
        <w:t>,</w:t>
      </w:r>
      <w:r w:rsidRPr="006473D9">
        <w:rPr>
          <w:rFonts w:cs="Times New Roman"/>
          <w:szCs w:val="24"/>
        </w:rPr>
        <w:t xml:space="preserve"> sous le régime de l</w:t>
      </w:r>
      <w:r w:rsidRPr="003642C2">
        <w:rPr>
          <w:rFonts w:cs="Times New Roman"/>
          <w:szCs w:val="24"/>
        </w:rPr>
        <w:t>’</w:t>
      </w:r>
      <w:r w:rsidRPr="006473D9">
        <w:rPr>
          <w:rFonts w:cs="Times New Roman"/>
          <w:szCs w:val="24"/>
        </w:rPr>
        <w:t>économie dirigée</w:t>
      </w:r>
      <w:r w:rsidR="0063173A">
        <w:rPr>
          <w:rFonts w:cs="Times New Roman"/>
          <w:szCs w:val="24"/>
        </w:rPr>
        <w:t xml:space="preserve"> ; </w:t>
      </w:r>
      <w:r w:rsidR="00086292">
        <w:rPr>
          <w:rFonts w:cs="Times New Roman"/>
          <w:szCs w:val="24"/>
        </w:rPr>
        <w:t>et celle de</w:t>
      </w:r>
      <w:r w:rsidR="00256F83">
        <w:rPr>
          <w:rFonts w:cs="Times New Roman"/>
          <w:szCs w:val="24"/>
        </w:rPr>
        <w:t xml:space="preserve"> </w:t>
      </w:r>
      <w:r w:rsidRPr="006473D9">
        <w:rPr>
          <w:rFonts w:cs="Times New Roman"/>
          <w:szCs w:val="24"/>
        </w:rPr>
        <w:t xml:space="preserve">la phase où le système </w:t>
      </w:r>
      <w:r>
        <w:rPr>
          <w:rFonts w:cs="Times New Roman"/>
          <w:szCs w:val="24"/>
        </w:rPr>
        <w:t xml:space="preserve">tente de </w:t>
      </w:r>
      <w:r w:rsidRPr="006473D9">
        <w:rPr>
          <w:rFonts w:cs="Times New Roman"/>
          <w:szCs w:val="24"/>
        </w:rPr>
        <w:t>s</w:t>
      </w:r>
      <w:r w:rsidRPr="003642C2">
        <w:rPr>
          <w:rFonts w:cs="Times New Roman"/>
          <w:szCs w:val="24"/>
        </w:rPr>
        <w:t>’</w:t>
      </w:r>
      <w:r w:rsidRPr="006473D9">
        <w:rPr>
          <w:rFonts w:cs="Times New Roman"/>
          <w:szCs w:val="24"/>
        </w:rPr>
        <w:t>ouvrir à</w:t>
      </w:r>
      <w:r w:rsidR="005B33F3">
        <w:rPr>
          <w:rFonts w:cs="Times New Roman"/>
          <w:szCs w:val="24"/>
        </w:rPr>
        <w:t xml:space="preserve"> </w:t>
      </w:r>
      <w:r>
        <w:rPr>
          <w:rFonts w:cs="Times New Roman"/>
          <w:szCs w:val="24"/>
        </w:rPr>
        <w:t>une</w:t>
      </w:r>
      <w:r w:rsidR="00D622AF">
        <w:rPr>
          <w:rFonts w:cs="Times New Roman"/>
          <w:szCs w:val="24"/>
        </w:rPr>
        <w:t xml:space="preserve"> économie de marché et </w:t>
      </w:r>
      <w:r w:rsidRPr="006473D9">
        <w:rPr>
          <w:rFonts w:cs="Times New Roman"/>
          <w:szCs w:val="24"/>
        </w:rPr>
        <w:t>vers l</w:t>
      </w:r>
      <w:r w:rsidRPr="003642C2">
        <w:rPr>
          <w:rFonts w:cs="Times New Roman"/>
          <w:szCs w:val="24"/>
        </w:rPr>
        <w:t>’</w:t>
      </w:r>
      <w:r w:rsidRPr="006473D9">
        <w:rPr>
          <w:rFonts w:cs="Times New Roman"/>
          <w:szCs w:val="24"/>
        </w:rPr>
        <w:t>extérieur.</w:t>
      </w:r>
    </w:p>
    <w:p w:rsidR="001D5E53" w:rsidRPr="0058792C" w:rsidRDefault="00D622AF" w:rsidP="00D622AF">
      <w:pPr>
        <w:ind w:firstLine="708"/>
        <w:rPr>
          <w:rFonts w:cs="Times New Roman"/>
          <w:szCs w:val="24"/>
        </w:rPr>
      </w:pPr>
      <w:r>
        <w:rPr>
          <w:rFonts w:cs="Times New Roman"/>
          <w:szCs w:val="24"/>
        </w:rPr>
        <w:t>L</w:t>
      </w:r>
      <w:r w:rsidR="001D5E53" w:rsidRPr="0058792C">
        <w:rPr>
          <w:rFonts w:cs="Times New Roman"/>
          <w:szCs w:val="24"/>
        </w:rPr>
        <w:t>a liquidité bancaire est la disponibilité des fonds au moment du besoin</w:t>
      </w:r>
      <w:r>
        <w:rPr>
          <w:rFonts w:cs="Times New Roman"/>
          <w:szCs w:val="24"/>
        </w:rPr>
        <w:t>, pour faire face aux</w:t>
      </w:r>
      <w:r w:rsidR="001D5E53" w:rsidRPr="0058792C">
        <w:rPr>
          <w:rFonts w:cs="Times New Roman"/>
          <w:szCs w:val="24"/>
        </w:rPr>
        <w:t xml:space="preserve"> engagements de la banque, à savoir son aptitude à rembourser des emprunts qui lui ont été éventuellement octroyés, ou à répondre favorablement aux demandes de crédits ou de retraits de dépôts de sa clientèle. La liquidité permet alors à la banque d’assurer sa solvabilité et d’écarter tout risque d’illiquidité pouvant la mettre dans une situation d’impasse. </w:t>
      </w:r>
    </w:p>
    <w:p w:rsidR="00901707" w:rsidRDefault="00901707" w:rsidP="009E1C33">
      <w:pPr>
        <w:pStyle w:val="Titre1"/>
        <w:framePr w:w="9492" w:wrap="auto" w:hAnchor="text"/>
        <w:sectPr w:rsidR="00901707" w:rsidSect="002964F9">
          <w:pgSz w:w="11906" w:h="16838"/>
          <w:pgMar w:top="1417" w:right="1417" w:bottom="1417" w:left="1417" w:header="708" w:footer="708" w:gutter="0"/>
          <w:cols w:space="708"/>
          <w:docGrid w:linePitch="360"/>
        </w:sectPr>
      </w:pPr>
    </w:p>
    <w:p w:rsidR="004018B7" w:rsidRPr="004018B7" w:rsidRDefault="005F1DED" w:rsidP="004018B7">
      <w:pPr>
        <w:pStyle w:val="Titre1"/>
      </w:pPr>
      <w:bookmarkStart w:id="49" w:name="_Toc431980007"/>
      <w:r>
        <w:lastRenderedPageBreak/>
        <w:t>CHAPITRE</w:t>
      </w:r>
      <w:r w:rsidR="004018B7" w:rsidRPr="004018B7">
        <w:t xml:space="preserve"> II : Indicateurs et conséquences de la surliquidité bancaire en Algérie.</w:t>
      </w:r>
      <w:bookmarkEnd w:id="49"/>
    </w:p>
    <w:p w:rsidR="001D5E53" w:rsidRPr="004018B7" w:rsidRDefault="001D5E53" w:rsidP="004018B7">
      <w:pPr>
        <w:pStyle w:val="Titre1"/>
      </w:pPr>
      <w:bookmarkStart w:id="50" w:name="_Toc431980008"/>
      <w:r w:rsidRPr="004018B7">
        <w:t>Introduction</w:t>
      </w:r>
      <w:bookmarkEnd w:id="50"/>
    </w:p>
    <w:p w:rsidR="001D5E53" w:rsidRDefault="001D5E53" w:rsidP="001D5E53">
      <w:r>
        <w:t>Une surliquidité caractérise le système bancaire algérien depuis 2002 et revêt un caractère quasi structurel, comme l’ont affirmé clairement les responsables de la Banque d’Algérie</w:t>
      </w:r>
      <w:r>
        <w:rPr>
          <w:rStyle w:val="Appelnotedebasdep"/>
          <w:rFonts w:cs="Times New Roman"/>
          <w:szCs w:val="24"/>
        </w:rPr>
        <w:footnoteReference w:id="24"/>
      </w:r>
      <w:r>
        <w:t xml:space="preserve">, et la maîtrise de cette situation est l’une des préoccupations principales de cette dernière. </w:t>
      </w:r>
    </w:p>
    <w:p w:rsidR="001D5E53" w:rsidRDefault="001D5E53" w:rsidP="002E6048">
      <w:r>
        <w:t xml:space="preserve">Afin de comprendre cette situation de déséquilibre dans laquelle se trouvait le marché monétaire algérien, il importe d’abord de </w:t>
      </w:r>
      <w:r w:rsidR="002E6048">
        <w:t>confirmer l’existence du phénomène</w:t>
      </w:r>
      <w:r>
        <w:t xml:space="preserve">, </w:t>
      </w:r>
      <w:r w:rsidR="002E6048">
        <w:t xml:space="preserve">qui fera </w:t>
      </w:r>
      <w:r>
        <w:t xml:space="preserve">l’objet de la première section du présent chapitre. Puis dans la deuxième section, nous allons tenter de </w:t>
      </w:r>
      <w:r w:rsidR="002E6048">
        <w:t>caractériser l’effet structurel et présenter ses conséquences sur l’économie et les banques.</w:t>
      </w:r>
    </w:p>
    <w:p w:rsidR="00C161AE" w:rsidRDefault="00C161AE" w:rsidP="00060EA3">
      <w:pPr>
        <w:pStyle w:val="Titre1"/>
      </w:pPr>
    </w:p>
    <w:p w:rsidR="00C161AE" w:rsidRDefault="00C161AE" w:rsidP="00060EA3">
      <w:pPr>
        <w:pStyle w:val="Titre1"/>
      </w:pPr>
    </w:p>
    <w:p w:rsidR="00C161AE" w:rsidRDefault="00C161AE" w:rsidP="00060EA3">
      <w:pPr>
        <w:pStyle w:val="Titre1"/>
      </w:pPr>
    </w:p>
    <w:p w:rsidR="00C161AE" w:rsidRDefault="00C161AE" w:rsidP="00060EA3">
      <w:pPr>
        <w:pStyle w:val="Titre1"/>
      </w:pPr>
    </w:p>
    <w:p w:rsidR="00C161AE" w:rsidRDefault="00C161AE" w:rsidP="00060EA3">
      <w:pPr>
        <w:pStyle w:val="Titre1"/>
      </w:pPr>
    </w:p>
    <w:p w:rsidR="00C161AE" w:rsidRDefault="00C161AE" w:rsidP="00060EA3">
      <w:pPr>
        <w:pStyle w:val="Titre1"/>
      </w:pPr>
    </w:p>
    <w:p w:rsidR="00C161AE" w:rsidRDefault="00C161AE" w:rsidP="00060EA3">
      <w:pPr>
        <w:pStyle w:val="Titre1"/>
      </w:pPr>
    </w:p>
    <w:p w:rsidR="00C161AE" w:rsidRDefault="00C161AE" w:rsidP="00060EA3">
      <w:pPr>
        <w:pStyle w:val="Titre1"/>
      </w:pPr>
    </w:p>
    <w:p w:rsidR="00C161AE" w:rsidRDefault="00C161AE" w:rsidP="00060EA3">
      <w:pPr>
        <w:pStyle w:val="Titre1"/>
      </w:pPr>
    </w:p>
    <w:p w:rsidR="00086292" w:rsidRDefault="00086292" w:rsidP="00060EA3">
      <w:pPr>
        <w:pStyle w:val="Titre1"/>
      </w:pPr>
    </w:p>
    <w:p w:rsidR="001D5E53" w:rsidRPr="00D15B2C" w:rsidRDefault="001D5E53" w:rsidP="00060EA3">
      <w:pPr>
        <w:pStyle w:val="Titre1"/>
      </w:pPr>
      <w:bookmarkStart w:id="51" w:name="_Toc431980009"/>
      <w:r>
        <w:lastRenderedPageBreak/>
        <w:t>Section 01</w:t>
      </w:r>
      <w:r w:rsidRPr="00D15B2C">
        <w:t> : Les indicateurs de la surliquidité bancaire</w:t>
      </w:r>
      <w:bookmarkEnd w:id="51"/>
    </w:p>
    <w:p w:rsidR="001D5E53" w:rsidRDefault="001D5E53" w:rsidP="002724B2">
      <w:r w:rsidRPr="00D15B2C">
        <w:t xml:space="preserve">Les banques algériennes commençaient à marquer une liquidité grandissante depuis l’année 2002 suite </w:t>
      </w:r>
      <w:r w:rsidR="002724B2">
        <w:t xml:space="preserve">à la fragilité du système bancaire que nous avons constaté dans le chapitre précédent. </w:t>
      </w:r>
      <w:r w:rsidRPr="00D15B2C">
        <w:t>Et dans le but de mesurer cet excès, certains ratios nous permettrons d’expliciter ce phénomène.</w:t>
      </w:r>
    </w:p>
    <w:p w:rsidR="006517B5" w:rsidRDefault="006517B5" w:rsidP="006517B5">
      <w:pPr>
        <w:pStyle w:val="Titre1"/>
        <w:ind w:left="360"/>
      </w:pPr>
      <w:bookmarkStart w:id="52" w:name="_Toc431416591"/>
      <w:bookmarkStart w:id="53" w:name="_Toc431980023"/>
      <w:r>
        <w:t>1. Définition d’une surliquidité bancaire</w:t>
      </w:r>
      <w:bookmarkEnd w:id="52"/>
      <w:bookmarkEnd w:id="53"/>
    </w:p>
    <w:p w:rsidR="006517B5" w:rsidRPr="00762F28" w:rsidRDefault="006517B5" w:rsidP="006517B5">
      <w:r w:rsidRPr="00762F28">
        <w:t>La surliquidité survie</w:t>
      </w:r>
      <w:r>
        <w:t>nt</w:t>
      </w:r>
      <w:r w:rsidRPr="00762F28">
        <w:t xml:space="preserve"> lorsque la somme du compte courant et </w:t>
      </w:r>
      <w:r>
        <w:t xml:space="preserve">celle </w:t>
      </w:r>
      <w:r w:rsidRPr="00762F28">
        <w:t>des réserves libres des institutions de crédit auprès de la Banque Centrale excède</w:t>
      </w:r>
      <w:r>
        <w:t>nt</w:t>
      </w:r>
      <w:r w:rsidRPr="00762F28">
        <w:t xml:space="preserve"> de manière persistante le niveau de réserves obligatoires. C’est lorsque la banque détient des liquidités au-delà de ce qui est convenable pour faire face au risque de liquidité. En d’autres termes, la surliquidité bancaire surgi</w:t>
      </w:r>
      <w:r>
        <w:t>t</w:t>
      </w:r>
      <w:r w:rsidRPr="00762F28">
        <w:t xml:space="preserve"> lorsqu’on trouve au niveau de la banque des liquidités oisives en abondances largement supérieures à c</w:t>
      </w:r>
      <w:r>
        <w:t>e</w:t>
      </w:r>
      <w:r w:rsidRPr="00762F28">
        <w:t xml:space="preserve"> qui peut être considéré comme optimal au regard des ratios prudentiels qui l</w:t>
      </w:r>
      <w:r>
        <w:t>eur sont im</w:t>
      </w:r>
      <w:r w:rsidRPr="00762F28">
        <w:t>posées.</w:t>
      </w:r>
      <w:r>
        <w:rPr>
          <w:rStyle w:val="Appelnotedebasdep"/>
          <w:rFonts w:cs="Times New Roman"/>
          <w:szCs w:val="24"/>
        </w:rPr>
        <w:footnoteReference w:id="25"/>
      </w:r>
    </w:p>
    <w:p w:rsidR="006517B5" w:rsidRPr="00762F28" w:rsidRDefault="006517B5" w:rsidP="006517B5">
      <w:r w:rsidRPr="00762F28">
        <w:t>Pour évaluer la surliquidité bancaire, on part du concept d’excédent de liquidité des banques (</w:t>
      </w:r>
      <w:r>
        <w:t xml:space="preserve">ou connu sous </w:t>
      </w:r>
      <w:r w:rsidRPr="00762F28">
        <w:t xml:space="preserve">Bank </w:t>
      </w:r>
      <w:proofErr w:type="spellStart"/>
      <w:r>
        <w:t>E</w:t>
      </w:r>
      <w:r w:rsidRPr="00762F28">
        <w:t>xcess</w:t>
      </w:r>
      <w:proofErr w:type="spellEnd"/>
      <w:r>
        <w:t xml:space="preserve"> </w:t>
      </w:r>
      <w:proofErr w:type="spellStart"/>
      <w:r>
        <w:t>L</w:t>
      </w:r>
      <w:r w:rsidRPr="00762F28">
        <w:t>iquidity</w:t>
      </w:r>
      <w:proofErr w:type="spellEnd"/>
      <w:r>
        <w:t xml:space="preserve"> dans le  langage anglo-saxonne</w:t>
      </w:r>
      <w:r w:rsidRPr="00762F28">
        <w:t xml:space="preserve">). Mais il ne suffit pas d'observer l'existence de l'excès de liquidité dans une banque pour conclure </w:t>
      </w:r>
      <w:r>
        <w:t xml:space="preserve">quant </w:t>
      </w:r>
      <w:r w:rsidRPr="00762F28">
        <w:t xml:space="preserve">à la surliquidité. </w:t>
      </w:r>
      <w:r>
        <w:t>L</w:t>
      </w:r>
      <w:r w:rsidRPr="00762F28">
        <w:t xml:space="preserve">a liquidité d'une banque est sa capacité à faire face à ses engagements. </w:t>
      </w:r>
      <w:r>
        <w:t>Elles</w:t>
      </w:r>
      <w:r w:rsidRPr="00762F28">
        <w:t xml:space="preserve"> conservent ainsi les ressources liquides sous forme d'encaisse de précaution. La surliquidité n’apparaît que lorsque les réserves des banques s'écartent fondamentalement d</w:t>
      </w:r>
      <w:r>
        <w:t>u</w:t>
      </w:r>
      <w:r w:rsidRPr="00762F28">
        <w:t xml:space="preserve"> niveau optimal requis.  </w:t>
      </w:r>
      <w:r>
        <w:t>Autrement dit</w:t>
      </w:r>
      <w:r w:rsidRPr="00762F28">
        <w:t>, toute variation permanente et en sens contraire des dépôts par rapport aux crédits se traduiront dans le temps par la surliquidité du système bancaire. En fait, dan</w:t>
      </w:r>
      <w:r>
        <w:t>s leur calcul d'optimisation, les</w:t>
      </w:r>
      <w:r w:rsidRPr="00762F28">
        <w:t xml:space="preserve"> banques saisissent toutes les nouvelles opportunités de dépôts pour faire de nouveaux crédits suivant leur propre coefficient de transformation. Ainsi, toute augmentation des dépôts devrait être suivie par une hausse des crédits. S'il n'existe pas de réaction à la hausse des crédits</w:t>
      </w:r>
      <w:r>
        <w:t xml:space="preserve">, </w:t>
      </w:r>
      <w:r w:rsidRPr="00762F28">
        <w:t xml:space="preserve">on pourrait croire à un rationnement de crédit et </w:t>
      </w:r>
      <w:r>
        <w:t>à</w:t>
      </w:r>
      <w:r w:rsidRPr="00762F28">
        <w:t xml:space="preserve"> une surliquidité du système.</w:t>
      </w:r>
      <w:r>
        <w:rPr>
          <w:rStyle w:val="Appelnotedebasdep"/>
          <w:rFonts w:cs="Times New Roman"/>
          <w:szCs w:val="24"/>
        </w:rPr>
        <w:footnoteReference w:id="26"/>
      </w:r>
    </w:p>
    <w:p w:rsidR="006517B5" w:rsidRPr="00D15B2C" w:rsidRDefault="006517B5" w:rsidP="002724B2"/>
    <w:p w:rsidR="001D5E53" w:rsidRPr="00D15B2C" w:rsidRDefault="006517B5" w:rsidP="00E44A61">
      <w:pPr>
        <w:pStyle w:val="Titre1"/>
        <w:ind w:left="360"/>
      </w:pPr>
      <w:bookmarkStart w:id="54" w:name="_Toc431416580"/>
      <w:bookmarkStart w:id="55" w:name="_Toc431980010"/>
      <w:r>
        <w:lastRenderedPageBreak/>
        <w:t>2</w:t>
      </w:r>
      <w:r w:rsidR="00E44A61">
        <w:t xml:space="preserve">. </w:t>
      </w:r>
      <w:r w:rsidR="001D5E53" w:rsidRPr="00D15B2C">
        <w:t>Les indicateurs globaux de la surliquidité bancaire en Algérie</w:t>
      </w:r>
      <w:bookmarkEnd w:id="54"/>
      <w:bookmarkEnd w:id="55"/>
    </w:p>
    <w:p w:rsidR="001D5E53" w:rsidRPr="00D15B2C" w:rsidRDefault="001D5E53" w:rsidP="001D5E53">
      <w:r w:rsidRPr="00D15B2C">
        <w:t xml:space="preserve">Dans l’optique de mesurer la surliquidité bancaire, les ratios épargne-investissement et le ratio </w:t>
      </w:r>
      <w:r>
        <w:t xml:space="preserve">des dépôts bancaires/PIB </w:t>
      </w:r>
      <w:r w:rsidRPr="00D15B2C">
        <w:t>nous ont permis de prouver globalement l’existence de ce phénomène</w:t>
      </w:r>
      <w:r w:rsidRPr="00D15B2C">
        <w:rPr>
          <w:vertAlign w:val="superscript"/>
        </w:rPr>
        <w:footnoteReference w:id="27"/>
      </w:r>
      <w:r w:rsidRPr="00D15B2C">
        <w:t>.</w:t>
      </w:r>
    </w:p>
    <w:p w:rsidR="001D5E53" w:rsidRPr="00D15B2C" w:rsidRDefault="006517B5" w:rsidP="001D5E53">
      <w:pPr>
        <w:pStyle w:val="Titre2"/>
      </w:pPr>
      <w:bookmarkStart w:id="56" w:name="_Toc431416581"/>
      <w:bookmarkStart w:id="57" w:name="_Toc431980011"/>
      <w:r>
        <w:t>2</w:t>
      </w:r>
      <w:r w:rsidR="00E44A61">
        <w:t xml:space="preserve">.1 </w:t>
      </w:r>
      <w:r w:rsidR="001D5E53" w:rsidRPr="00D15B2C">
        <w:t xml:space="preserve"> Ratio épargne/ investissement</w:t>
      </w:r>
      <w:bookmarkEnd w:id="56"/>
      <w:bookmarkEnd w:id="57"/>
    </w:p>
    <w:p w:rsidR="001D5E53" w:rsidRPr="00D15B2C" w:rsidRDefault="001D5E53" w:rsidP="000020F1">
      <w:r w:rsidRPr="00D15B2C">
        <w:t xml:space="preserve">Depuis </w:t>
      </w:r>
      <w:r>
        <w:t xml:space="preserve">l’an </w:t>
      </w:r>
      <w:r w:rsidRPr="00D15B2C">
        <w:t>2000, le taux d’épargne national en proportion du PIB n’a cessé de croître.</w:t>
      </w:r>
      <w:r w:rsidR="00086292">
        <w:t xml:space="preserve"> Il est </w:t>
      </w:r>
      <w:r w:rsidRPr="00D15B2C">
        <w:t xml:space="preserve">en </w:t>
      </w:r>
      <w:r w:rsidR="000020F1" w:rsidRPr="00D15B2C">
        <w:t>effet</w:t>
      </w:r>
      <w:r w:rsidR="000020F1">
        <w:t>, de prêt de 50% en 2010</w:t>
      </w:r>
      <w:r w:rsidRPr="00D15B2C">
        <w:t xml:space="preserve"> comparé au taux de l’investissement qui oscille autour de</w:t>
      </w:r>
      <w:r w:rsidR="000020F1">
        <w:t xml:space="preserve"> 40</w:t>
      </w:r>
      <w:r w:rsidRPr="00D15B2C">
        <w:t>% sur la même période</w:t>
      </w:r>
      <w:r w:rsidR="000020F1">
        <w:rPr>
          <w:rStyle w:val="Appelnotedebasdep"/>
        </w:rPr>
        <w:footnoteReference w:id="28"/>
      </w:r>
      <w:r w:rsidRPr="00D15B2C">
        <w:t>, ce qui mesure aisément les capacités de financement inemployées du pays.</w:t>
      </w:r>
    </w:p>
    <w:p w:rsidR="001D5E53" w:rsidRPr="00D15B2C" w:rsidRDefault="001D5E53" w:rsidP="001D5E53">
      <w:r w:rsidRPr="00D15B2C">
        <w:t>Le ratio épargne/investissement est en hausse</w:t>
      </w:r>
      <w:r>
        <w:t xml:space="preserve"> due à l’excèdent d’épargne par rapport à </w:t>
      </w:r>
      <w:r w:rsidRPr="00D15B2C">
        <w:t xml:space="preserve">l’investissement, qui est essentiellement le fait du secteur des hydrocarbures. La hausse du prix du pétrole a entraîné une augmentation de l’épargne nationale ; celle-ci est constituée </w:t>
      </w:r>
      <w:r>
        <w:t>par</w:t>
      </w:r>
      <w:r w:rsidRPr="00D15B2C">
        <w:t xml:space="preserve"> l’épargne budgétaire directement liée à la fiscalité pétrolière et celle de la compagnie nationale des hydrocarbures.</w:t>
      </w:r>
    </w:p>
    <w:p w:rsidR="001D5E53" w:rsidRPr="00D15B2C" w:rsidRDefault="00713ADF" w:rsidP="001D5E53">
      <w:r>
        <w:t xml:space="preserve">Cet excèdent  </w:t>
      </w:r>
      <w:r w:rsidR="001D5E53" w:rsidRPr="00D15B2C">
        <w:t xml:space="preserve">pose la question de savoir si l’intermédiation financière ne souffre pas du fait que les liquidités disponibles sont concentrées dans les banques qui n’ont pas l’usage immédiat. </w:t>
      </w:r>
    </w:p>
    <w:p w:rsidR="001D5E53" w:rsidRPr="00D15B2C" w:rsidRDefault="001D5E53" w:rsidP="001D5E53">
      <w:r>
        <w:t>En o</w:t>
      </w:r>
      <w:r w:rsidRPr="00D15B2C">
        <w:t>utre, malgré leur épargne très abondante, et donc disponibilité de liquidité</w:t>
      </w:r>
      <w:r>
        <w:t>,</w:t>
      </w:r>
      <w:r w:rsidRPr="00D15B2C">
        <w:t xml:space="preserve"> les banques algériennes restent prudentes dans l’octroi des crédits et du financement de l’investissement, en raison de la difficulté de l’évaluation du risque crédit, ce qui alimente encore davantage l’excès de liquidité des banques.</w:t>
      </w:r>
    </w:p>
    <w:p w:rsidR="00713ADF" w:rsidRDefault="00713ADF" w:rsidP="001D5E53">
      <w:pPr>
        <w:rPr>
          <w:rFonts w:cs="Times New Roman"/>
          <w:szCs w:val="24"/>
        </w:rPr>
      </w:pPr>
    </w:p>
    <w:p w:rsidR="006517B5" w:rsidRDefault="006517B5" w:rsidP="001D5E53">
      <w:pPr>
        <w:rPr>
          <w:rFonts w:cs="Times New Roman"/>
          <w:szCs w:val="24"/>
        </w:rPr>
      </w:pPr>
    </w:p>
    <w:p w:rsidR="006517B5" w:rsidRDefault="006517B5" w:rsidP="001D5E53">
      <w:pPr>
        <w:rPr>
          <w:rFonts w:cs="Times New Roman"/>
          <w:szCs w:val="24"/>
        </w:rPr>
      </w:pPr>
    </w:p>
    <w:p w:rsidR="006517B5" w:rsidRDefault="006517B5" w:rsidP="001D5E53">
      <w:pPr>
        <w:rPr>
          <w:rFonts w:cs="Times New Roman"/>
          <w:szCs w:val="24"/>
        </w:rPr>
      </w:pPr>
    </w:p>
    <w:p w:rsidR="006517B5" w:rsidRDefault="006517B5" w:rsidP="001D5E53">
      <w:pPr>
        <w:rPr>
          <w:rFonts w:cs="Times New Roman"/>
          <w:szCs w:val="24"/>
        </w:rPr>
      </w:pPr>
    </w:p>
    <w:p w:rsidR="001D5E53" w:rsidRPr="00D15B2C" w:rsidRDefault="001D5E53" w:rsidP="001D5E53">
      <w:pPr>
        <w:rPr>
          <w:rFonts w:cs="Times New Roman"/>
          <w:szCs w:val="24"/>
        </w:rPr>
      </w:pPr>
      <w:r w:rsidRPr="00D15B2C">
        <w:rPr>
          <w:rFonts w:cs="Times New Roman"/>
          <w:szCs w:val="24"/>
        </w:rPr>
        <w:lastRenderedPageBreak/>
        <w:t xml:space="preserve">Le graphe ci-après représente l’évolution de l’épargne nationale et l’investissement de 2002 jusqu’à 2007 en (%) : </w:t>
      </w:r>
    </w:p>
    <w:p w:rsidR="001D5E53" w:rsidRPr="007F20EE" w:rsidRDefault="001D5E53" w:rsidP="00E13675">
      <w:pPr>
        <w:rPr>
          <w:rFonts w:cs="Times New Roman"/>
        </w:rPr>
      </w:pPr>
      <w:r>
        <w:rPr>
          <w:rFonts w:cs="Times New Roman"/>
          <w:b/>
          <w:bCs/>
          <w:szCs w:val="24"/>
        </w:rPr>
        <w:t>Graphe n°1</w:t>
      </w:r>
      <w:r w:rsidRPr="00D15B2C">
        <w:rPr>
          <w:rFonts w:cs="Times New Roman"/>
          <w:b/>
          <w:bCs/>
          <w:szCs w:val="24"/>
        </w:rPr>
        <w:t xml:space="preserve"> : Evolution de l’épargne et de l’investissement en </w:t>
      </w:r>
      <w:r>
        <w:rPr>
          <w:rFonts w:cs="Times New Roman"/>
          <w:b/>
          <w:bCs/>
          <w:szCs w:val="24"/>
        </w:rPr>
        <w:t xml:space="preserve">pourcentage </w:t>
      </w:r>
      <w:r w:rsidRPr="00D15B2C">
        <w:rPr>
          <w:rFonts w:cs="Times New Roman"/>
          <w:b/>
          <w:bCs/>
          <w:szCs w:val="24"/>
        </w:rPr>
        <w:t>(%)</w:t>
      </w:r>
      <w:r>
        <w:rPr>
          <w:rFonts w:cs="Times New Roman"/>
          <w:b/>
          <w:bCs/>
          <w:szCs w:val="24"/>
        </w:rPr>
        <w:t xml:space="preserve">. </w:t>
      </w:r>
    </w:p>
    <w:p w:rsidR="001D5E53" w:rsidRDefault="001D5E53" w:rsidP="00E13675">
      <w:pPr>
        <w:spacing w:before="0" w:after="0"/>
        <w:ind w:firstLine="0"/>
        <w:jc w:val="center"/>
        <w:rPr>
          <w:rFonts w:cs="Times New Roman"/>
          <w:b/>
          <w:bCs/>
          <w:szCs w:val="24"/>
        </w:rPr>
      </w:pPr>
      <w:r>
        <w:rPr>
          <w:noProof/>
        </w:rPr>
        <w:drawing>
          <wp:inline distT="0" distB="0" distL="0" distR="0" wp14:anchorId="02A7B153" wp14:editId="764A7CC3">
            <wp:extent cx="5507355" cy="3211195"/>
            <wp:effectExtent l="0" t="0" r="0" b="0"/>
            <wp:docPr id="13" name="Graphique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13675" w:rsidRPr="007F20EE" w:rsidRDefault="00E13675" w:rsidP="00E13675">
      <w:pPr>
        <w:spacing w:before="0"/>
        <w:jc w:val="right"/>
        <w:rPr>
          <w:rFonts w:cs="Times New Roman"/>
        </w:rPr>
      </w:pPr>
      <w:r w:rsidRPr="00BA7521">
        <w:rPr>
          <w:rFonts w:cs="Times New Roman"/>
          <w:b/>
          <w:bCs/>
          <w:sz w:val="22"/>
          <w:szCs w:val="20"/>
        </w:rPr>
        <w:t>Source : réalisé par nous-mêmes</w:t>
      </w:r>
      <w:r>
        <w:rPr>
          <w:rFonts w:cs="Times New Roman"/>
        </w:rPr>
        <w:t xml:space="preserve">. </w:t>
      </w:r>
    </w:p>
    <w:p w:rsidR="001D5E53" w:rsidRPr="00D15B2C" w:rsidRDefault="001D5E53" w:rsidP="00713ADF">
      <w:pPr>
        <w:ind w:firstLine="708"/>
        <w:rPr>
          <w:rFonts w:cs="Times New Roman"/>
          <w:szCs w:val="24"/>
        </w:rPr>
      </w:pPr>
      <w:r>
        <w:rPr>
          <w:rFonts w:cs="Times New Roman"/>
          <w:szCs w:val="24"/>
        </w:rPr>
        <w:t>L</w:t>
      </w:r>
      <w:r w:rsidRPr="00D15B2C">
        <w:rPr>
          <w:rFonts w:cs="Times New Roman"/>
          <w:szCs w:val="24"/>
        </w:rPr>
        <w:t xml:space="preserve">’analyse </w:t>
      </w:r>
      <w:r w:rsidR="00713ADF">
        <w:rPr>
          <w:rFonts w:cs="Times New Roman"/>
          <w:szCs w:val="24"/>
        </w:rPr>
        <w:t xml:space="preserve">du graphe N°1 </w:t>
      </w:r>
      <w:r w:rsidRPr="00D15B2C">
        <w:rPr>
          <w:rFonts w:cs="Times New Roman"/>
          <w:szCs w:val="24"/>
        </w:rPr>
        <w:t xml:space="preserve"> nous</w:t>
      </w:r>
      <w:r>
        <w:rPr>
          <w:rFonts w:cs="Times New Roman"/>
          <w:szCs w:val="24"/>
        </w:rPr>
        <w:t xml:space="preserve"> permet de</w:t>
      </w:r>
      <w:r w:rsidRPr="00D15B2C">
        <w:rPr>
          <w:rFonts w:cs="Times New Roman"/>
          <w:szCs w:val="24"/>
        </w:rPr>
        <w:t xml:space="preserve"> constat</w:t>
      </w:r>
      <w:r>
        <w:rPr>
          <w:rFonts w:cs="Times New Roman"/>
          <w:szCs w:val="24"/>
        </w:rPr>
        <w:t>er</w:t>
      </w:r>
      <w:r w:rsidRPr="00D15B2C">
        <w:rPr>
          <w:rFonts w:cs="Times New Roman"/>
          <w:szCs w:val="24"/>
        </w:rPr>
        <w:t xml:space="preserve"> que l’épargne nationale </w:t>
      </w:r>
      <w:r w:rsidR="00713ADF">
        <w:rPr>
          <w:rFonts w:cs="Times New Roman"/>
          <w:szCs w:val="24"/>
        </w:rPr>
        <w:t>a évolué</w:t>
      </w:r>
      <w:r w:rsidRPr="00D15B2C">
        <w:rPr>
          <w:rFonts w:cs="Times New Roman"/>
          <w:szCs w:val="24"/>
        </w:rPr>
        <w:t xml:space="preserve"> de près de 20% en 6ans, alors que l’investissement a </w:t>
      </w:r>
      <w:r w:rsidR="00713ADF">
        <w:rPr>
          <w:rFonts w:cs="Times New Roman"/>
          <w:szCs w:val="24"/>
        </w:rPr>
        <w:t xml:space="preserve">progressé </w:t>
      </w:r>
      <w:r w:rsidRPr="00D15B2C">
        <w:rPr>
          <w:rFonts w:cs="Times New Roman"/>
          <w:szCs w:val="24"/>
        </w:rPr>
        <w:t xml:space="preserve">de </w:t>
      </w:r>
      <w:r w:rsidR="0060788D" w:rsidRPr="00D15B2C">
        <w:rPr>
          <w:rFonts w:cs="Times New Roman"/>
          <w:szCs w:val="24"/>
        </w:rPr>
        <w:t>près</w:t>
      </w:r>
      <w:r w:rsidRPr="00D15B2C">
        <w:rPr>
          <w:rFonts w:cs="Times New Roman"/>
          <w:szCs w:val="24"/>
        </w:rPr>
        <w:t xml:space="preserve"> de 5% durant la même péri</w:t>
      </w:r>
      <w:r w:rsidR="00713ADF">
        <w:rPr>
          <w:rFonts w:cs="Times New Roman"/>
          <w:szCs w:val="24"/>
        </w:rPr>
        <w:t>ode, donc l’épargne nationale croit pl</w:t>
      </w:r>
      <w:r w:rsidRPr="00D15B2C">
        <w:rPr>
          <w:rFonts w:cs="Times New Roman"/>
          <w:szCs w:val="24"/>
        </w:rPr>
        <w:t xml:space="preserve">us rapidement que l’investissement. </w:t>
      </w:r>
    </w:p>
    <w:p w:rsidR="001D5E53" w:rsidRPr="00D15B2C" w:rsidRDefault="001D5E53" w:rsidP="00713ADF">
      <w:pPr>
        <w:rPr>
          <w:rFonts w:cs="Times New Roman"/>
          <w:szCs w:val="24"/>
        </w:rPr>
      </w:pPr>
      <w:r w:rsidRPr="00D15B2C">
        <w:rPr>
          <w:rFonts w:cs="Times New Roman"/>
          <w:szCs w:val="24"/>
        </w:rPr>
        <w:t>La différence entre</w:t>
      </w:r>
      <w:r w:rsidR="00713ADF">
        <w:rPr>
          <w:rFonts w:cs="Times New Roman"/>
          <w:szCs w:val="24"/>
        </w:rPr>
        <w:t xml:space="preserve"> l’</w:t>
      </w:r>
      <w:r w:rsidRPr="00D15B2C">
        <w:rPr>
          <w:rFonts w:cs="Times New Roman"/>
          <w:szCs w:val="24"/>
        </w:rPr>
        <w:t xml:space="preserve">épargne et </w:t>
      </w:r>
      <w:r>
        <w:rPr>
          <w:rFonts w:cs="Times New Roman"/>
          <w:szCs w:val="24"/>
        </w:rPr>
        <w:t>l’</w:t>
      </w:r>
      <w:r w:rsidRPr="00D15B2C">
        <w:rPr>
          <w:rFonts w:cs="Times New Roman"/>
          <w:szCs w:val="24"/>
        </w:rPr>
        <w:t>investissement s’est accrue de prêt de 25% durant la même période, ce qui inclue l’existence d</w:t>
      </w:r>
      <w:r w:rsidR="00713ADF">
        <w:rPr>
          <w:rFonts w:cs="Times New Roman"/>
          <w:szCs w:val="24"/>
        </w:rPr>
        <w:t xml:space="preserve">’un </w:t>
      </w:r>
      <w:r w:rsidRPr="00D15B2C">
        <w:rPr>
          <w:rFonts w:cs="Times New Roman"/>
          <w:szCs w:val="24"/>
        </w:rPr>
        <w:t xml:space="preserve">excédent d’épargne dans les banques algériennes, </w:t>
      </w:r>
      <w:r w:rsidR="00713ADF">
        <w:rPr>
          <w:rFonts w:cs="Times New Roman"/>
          <w:szCs w:val="24"/>
        </w:rPr>
        <w:t xml:space="preserve">favorisant </w:t>
      </w:r>
      <w:r w:rsidRPr="00D15B2C">
        <w:rPr>
          <w:rFonts w:cs="Times New Roman"/>
          <w:szCs w:val="24"/>
        </w:rPr>
        <w:t xml:space="preserve"> la situation de surliquidité.</w:t>
      </w:r>
    </w:p>
    <w:p w:rsidR="001D5E53" w:rsidRPr="00D15B2C" w:rsidRDefault="001D5E53" w:rsidP="005A6926">
      <w:pPr>
        <w:rPr>
          <w:rFonts w:cs="Times New Roman"/>
          <w:szCs w:val="24"/>
        </w:rPr>
      </w:pPr>
      <w:r w:rsidRPr="00D15B2C">
        <w:rPr>
          <w:rFonts w:cs="Times New Roman"/>
          <w:szCs w:val="24"/>
        </w:rPr>
        <w:t>Par ailleurs, dans l’optique de calculer le ratio en question, nous avons réalisé le tableau ci-après (tableau n°</w:t>
      </w:r>
      <w:r w:rsidR="005A6926">
        <w:rPr>
          <w:rFonts w:cs="Times New Roman"/>
          <w:szCs w:val="24"/>
        </w:rPr>
        <w:t>5</w:t>
      </w:r>
      <w:r w:rsidR="00713ADF">
        <w:rPr>
          <w:rFonts w:cs="Times New Roman"/>
          <w:szCs w:val="24"/>
        </w:rPr>
        <w:t>)</w:t>
      </w:r>
      <w:r w:rsidRPr="00D15B2C">
        <w:rPr>
          <w:rFonts w:cs="Times New Roman"/>
          <w:szCs w:val="24"/>
        </w:rPr>
        <w:t>, qui résume des données chiffrées où nous avons calculé l’épargne nationale en milliards de dollars, ainsi que l’investissement national par le biais de la Formation Brute du Capital Fixe (FBCF)</w:t>
      </w:r>
      <w:r w:rsidRPr="00D15B2C">
        <w:rPr>
          <w:rFonts w:cs="Times New Roman"/>
          <w:szCs w:val="24"/>
          <w:vertAlign w:val="superscript"/>
        </w:rPr>
        <w:footnoteReference w:id="29"/>
      </w:r>
      <w:r w:rsidRPr="00D15B2C">
        <w:rPr>
          <w:rFonts w:cs="Times New Roman"/>
          <w:szCs w:val="24"/>
        </w:rPr>
        <w:t>, pendant les quatre dernières années.</w:t>
      </w:r>
    </w:p>
    <w:p w:rsidR="001D5E53" w:rsidRDefault="001D5E53" w:rsidP="001D5E53">
      <w:pPr>
        <w:rPr>
          <w:rFonts w:cs="Times New Roman"/>
          <w:szCs w:val="24"/>
        </w:rPr>
      </w:pPr>
      <w:r w:rsidRPr="00D15B2C">
        <w:rPr>
          <w:rFonts w:cs="Times New Roman"/>
          <w:szCs w:val="24"/>
        </w:rPr>
        <w:lastRenderedPageBreak/>
        <w:t>L’investissement est calculé ainsi :</w:t>
      </w:r>
    </w:p>
    <w:p w:rsidR="001D5E53" w:rsidRPr="0059412C" w:rsidRDefault="001D5E53" w:rsidP="001D5E53">
      <w:pPr>
        <w:pBdr>
          <w:top w:val="single" w:sz="4" w:space="1" w:color="auto"/>
          <w:left w:val="single" w:sz="4" w:space="4" w:color="auto"/>
          <w:bottom w:val="single" w:sz="4" w:space="1" w:color="auto"/>
          <w:right w:val="single" w:sz="4" w:space="1" w:color="auto"/>
        </w:pBdr>
        <w:spacing w:before="0" w:after="0" w:line="240" w:lineRule="auto"/>
        <w:jc w:val="center"/>
        <w:rPr>
          <w:rFonts w:cs="Times New Roman"/>
          <w:szCs w:val="24"/>
        </w:rPr>
      </w:pPr>
      <w:r w:rsidRPr="0059412C">
        <w:rPr>
          <w:rFonts w:cs="Times New Roman"/>
          <w:b/>
          <w:bCs/>
          <w:szCs w:val="24"/>
        </w:rPr>
        <w:t>Investissement = FCBC/PIB*100</w:t>
      </w:r>
    </w:p>
    <w:p w:rsidR="001D5E53" w:rsidRPr="00D15B2C" w:rsidRDefault="001D5E53" w:rsidP="001D5E53">
      <w:pPr>
        <w:rPr>
          <w:rFonts w:cs="Times New Roman"/>
          <w:b/>
          <w:bCs/>
          <w:szCs w:val="24"/>
        </w:rPr>
      </w:pPr>
      <w:r>
        <w:rPr>
          <w:rFonts w:cs="Times New Roman"/>
          <w:b/>
          <w:bCs/>
          <w:szCs w:val="24"/>
        </w:rPr>
        <w:t>Tableau n°5</w:t>
      </w:r>
      <w:r w:rsidRPr="00D15B2C">
        <w:rPr>
          <w:rFonts w:cs="Times New Roman"/>
          <w:b/>
          <w:bCs/>
          <w:szCs w:val="24"/>
        </w:rPr>
        <w:t> : Calcul du ratio épargne/investissement</w:t>
      </w:r>
      <w:r>
        <w:rPr>
          <w:rFonts w:cs="Times New Roman"/>
          <w:b/>
          <w:bCs/>
          <w:szCs w:val="24"/>
        </w:rPr>
        <w:t xml:space="preserve">. </w:t>
      </w:r>
    </w:p>
    <w:tbl>
      <w:tblPr>
        <w:tblW w:w="9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5"/>
        <w:gridCol w:w="1437"/>
        <w:gridCol w:w="1438"/>
        <w:gridCol w:w="1438"/>
        <w:gridCol w:w="1438"/>
        <w:gridCol w:w="1300"/>
      </w:tblGrid>
      <w:tr w:rsidR="003D2044" w:rsidRPr="003D2044" w:rsidTr="001023D4">
        <w:trPr>
          <w:trHeight w:val="522"/>
        </w:trPr>
        <w:tc>
          <w:tcPr>
            <w:tcW w:w="2675"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p>
        </w:tc>
        <w:tc>
          <w:tcPr>
            <w:tcW w:w="143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2010</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2011</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2012</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2013</w:t>
            </w:r>
          </w:p>
        </w:tc>
        <w:tc>
          <w:tcPr>
            <w:tcW w:w="1300"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2014</w:t>
            </w:r>
          </w:p>
        </w:tc>
      </w:tr>
      <w:tr w:rsidR="003D2044" w:rsidRPr="003D2044" w:rsidTr="001023D4">
        <w:trPr>
          <w:trHeight w:val="470"/>
        </w:trPr>
        <w:tc>
          <w:tcPr>
            <w:tcW w:w="2675"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PIB (MD$)</w:t>
            </w:r>
          </w:p>
        </w:tc>
        <w:tc>
          <w:tcPr>
            <w:tcW w:w="143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158,97</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183,4</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188,6</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210,2</w:t>
            </w:r>
          </w:p>
        </w:tc>
        <w:tc>
          <w:tcPr>
            <w:tcW w:w="1300"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227,3</w:t>
            </w:r>
          </w:p>
        </w:tc>
      </w:tr>
      <w:tr w:rsidR="003D2044" w:rsidRPr="003D2044" w:rsidTr="001023D4">
        <w:trPr>
          <w:trHeight w:val="465"/>
        </w:trPr>
        <w:tc>
          <w:tcPr>
            <w:tcW w:w="2675"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Epargne (% du PIB)</w:t>
            </w:r>
          </w:p>
        </w:tc>
        <w:tc>
          <w:tcPr>
            <w:tcW w:w="143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58,45</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47,96</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48,04</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45,83</w:t>
            </w:r>
          </w:p>
        </w:tc>
        <w:tc>
          <w:tcPr>
            <w:tcW w:w="1300"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52,21</w:t>
            </w:r>
          </w:p>
        </w:tc>
      </w:tr>
      <w:tr w:rsidR="003D2044" w:rsidRPr="003D2044" w:rsidTr="001023D4">
        <w:trPr>
          <w:trHeight w:val="471"/>
        </w:trPr>
        <w:tc>
          <w:tcPr>
            <w:tcW w:w="2675"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Epargne (MD$)</w:t>
            </w:r>
          </w:p>
        </w:tc>
        <w:tc>
          <w:tcPr>
            <w:tcW w:w="143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92,91</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87,95</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90,60</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96,33</w:t>
            </w:r>
          </w:p>
        </w:tc>
        <w:tc>
          <w:tcPr>
            <w:tcW w:w="1300"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118,7</w:t>
            </w:r>
          </w:p>
        </w:tc>
      </w:tr>
      <w:tr w:rsidR="003D2044" w:rsidRPr="003D2044" w:rsidTr="001023D4">
        <w:trPr>
          <w:trHeight w:val="466"/>
        </w:trPr>
        <w:tc>
          <w:tcPr>
            <w:tcW w:w="2675"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FBCF (% du PIB)</w:t>
            </w:r>
          </w:p>
        </w:tc>
        <w:tc>
          <w:tcPr>
            <w:tcW w:w="143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41</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38</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39</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43</w:t>
            </w:r>
          </w:p>
        </w:tc>
        <w:tc>
          <w:tcPr>
            <w:tcW w:w="1300"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54</w:t>
            </w:r>
          </w:p>
        </w:tc>
      </w:tr>
      <w:tr w:rsidR="003D2044" w:rsidRPr="003D2044" w:rsidTr="001023D4">
        <w:trPr>
          <w:trHeight w:val="466"/>
        </w:trPr>
        <w:tc>
          <w:tcPr>
            <w:tcW w:w="2675"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FBCF (MD$)</w:t>
            </w:r>
          </w:p>
        </w:tc>
        <w:tc>
          <w:tcPr>
            <w:tcW w:w="143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1783,34</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2003,21</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2070,82</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2305,10</w:t>
            </w:r>
          </w:p>
        </w:tc>
        <w:tc>
          <w:tcPr>
            <w:tcW w:w="1300"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2894,9</w:t>
            </w:r>
          </w:p>
        </w:tc>
      </w:tr>
      <w:tr w:rsidR="003D2044" w:rsidRPr="003D2044" w:rsidTr="001023D4">
        <w:trPr>
          <w:trHeight w:val="462"/>
        </w:trPr>
        <w:tc>
          <w:tcPr>
            <w:tcW w:w="2675"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Investissement</w:t>
            </w:r>
          </w:p>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(FBCF /PIB) en MD$</w:t>
            </w:r>
          </w:p>
        </w:tc>
        <w:tc>
          <w:tcPr>
            <w:tcW w:w="143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11,21</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10,92</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10,98</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10,96</w:t>
            </w:r>
          </w:p>
        </w:tc>
        <w:tc>
          <w:tcPr>
            <w:tcW w:w="1300"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12,74</w:t>
            </w:r>
          </w:p>
        </w:tc>
      </w:tr>
      <w:tr w:rsidR="003D2044" w:rsidRPr="003D2044" w:rsidTr="001023D4">
        <w:trPr>
          <w:trHeight w:val="706"/>
        </w:trPr>
        <w:tc>
          <w:tcPr>
            <w:tcW w:w="2675"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Calcul du ratio</w:t>
            </w:r>
          </w:p>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Epargne/investissement</w:t>
            </w:r>
          </w:p>
        </w:tc>
        <w:tc>
          <w:tcPr>
            <w:tcW w:w="143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8,29</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8,05</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8,25</w:t>
            </w:r>
          </w:p>
        </w:tc>
        <w:tc>
          <w:tcPr>
            <w:tcW w:w="1438"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8,79</w:t>
            </w:r>
          </w:p>
        </w:tc>
        <w:tc>
          <w:tcPr>
            <w:tcW w:w="1300"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9,32</w:t>
            </w:r>
          </w:p>
        </w:tc>
      </w:tr>
    </w:tbl>
    <w:p w:rsidR="005A6926" w:rsidRPr="00E13675" w:rsidRDefault="00664FFF" w:rsidP="00664FFF">
      <w:pPr>
        <w:jc w:val="right"/>
        <w:rPr>
          <w:sz w:val="20"/>
          <w:szCs w:val="20"/>
        </w:rPr>
      </w:pPr>
      <w:r>
        <w:rPr>
          <w:rFonts w:cs="Times New Roman"/>
          <w:sz w:val="20"/>
          <w:szCs w:val="20"/>
        </w:rPr>
        <w:t>S</w:t>
      </w:r>
      <w:r w:rsidR="00E13675">
        <w:rPr>
          <w:rFonts w:cs="Times New Roman"/>
          <w:sz w:val="20"/>
          <w:szCs w:val="20"/>
        </w:rPr>
        <w:t xml:space="preserve">ource : réalisé par </w:t>
      </w:r>
      <w:r w:rsidR="00AC2B20">
        <w:rPr>
          <w:rFonts w:cs="Times New Roman"/>
          <w:sz w:val="20"/>
          <w:szCs w:val="20"/>
        </w:rPr>
        <w:t>nous-mêmes</w:t>
      </w:r>
      <w:r w:rsidR="00E13675">
        <w:rPr>
          <w:rFonts w:cs="Times New Roman"/>
          <w:sz w:val="20"/>
          <w:szCs w:val="20"/>
        </w:rPr>
        <w:t>.</w:t>
      </w:r>
    </w:p>
    <w:p w:rsidR="001D5E53" w:rsidRPr="00D15B2C" w:rsidRDefault="001D5E53" w:rsidP="00713ADF">
      <w:r w:rsidRPr="00D15B2C">
        <w:t xml:space="preserve">Nous remarquons que le ratio épargne/investissement demeure en hausse pendant des quatre (04) dernières années, ce qui traduit une évolution plus rapide de l’épargne nationale </w:t>
      </w:r>
      <w:r w:rsidR="00713ADF">
        <w:t>et la croissance des excédents de liquidité dans les banques</w:t>
      </w:r>
      <w:r w:rsidRPr="00D15B2C">
        <w:t>.</w:t>
      </w:r>
    </w:p>
    <w:p w:rsidR="001D5E53" w:rsidRDefault="006517B5" w:rsidP="001D5E53">
      <w:pPr>
        <w:pStyle w:val="Titre2"/>
      </w:pPr>
      <w:bookmarkStart w:id="58" w:name="_Toc431416582"/>
      <w:bookmarkStart w:id="59" w:name="_Toc431980012"/>
      <w:r>
        <w:t>2</w:t>
      </w:r>
      <w:r w:rsidR="00E44A61">
        <w:t xml:space="preserve">.2 </w:t>
      </w:r>
      <w:r w:rsidR="001D5E53" w:rsidRPr="00D15B2C">
        <w:t xml:space="preserve"> Ratio Actifs du secteur bancaire (dépôts bancaires/PIB)</w:t>
      </w:r>
      <w:bookmarkEnd w:id="58"/>
      <w:bookmarkEnd w:id="59"/>
    </w:p>
    <w:p w:rsidR="001D5E53" w:rsidRPr="00D15B2C" w:rsidRDefault="001D5E53" w:rsidP="000020F1">
      <w:r>
        <w:t>La production économique réalisée à l’intérieur d’un pays donné est mesuré par un indicateur  économique principal qui est un agrégat majeur des comptes nationaux appelé le Produit Intérieur Brute (PIB). Cet agrégat vise à qualifier la production de la richesse réalisée par les agents économiques à l’intérieur d’un pays donné. Et sa variation d’une période à une autre mesure le taux de croissance du pays</w:t>
      </w:r>
      <w:r w:rsidR="00E14508">
        <w:rPr>
          <w:rStyle w:val="Appelnotedebasdep"/>
        </w:rPr>
        <w:footnoteReference w:id="30"/>
      </w:r>
      <w:r>
        <w:t xml:space="preserve">.  </w:t>
      </w:r>
    </w:p>
    <w:p w:rsidR="001D5E53" w:rsidRPr="00D15B2C" w:rsidRDefault="001D5E53" w:rsidP="001D5E53">
      <w:r w:rsidRPr="00D15B2C">
        <w:t>A en croire les données fournies par la Banque d’Algérie</w:t>
      </w:r>
      <w:r w:rsidRPr="00D15B2C">
        <w:rPr>
          <w:vertAlign w:val="superscript"/>
        </w:rPr>
        <w:footnoteReference w:id="31"/>
      </w:r>
      <w:r w:rsidRPr="00D15B2C">
        <w:t>, le Produit Intérieur Brute était en hausse à partir de 2010 après le choc externe de 2009</w:t>
      </w:r>
      <w:r w:rsidR="00D13D50" w:rsidRPr="00584300">
        <w:t>. (</w:t>
      </w:r>
      <w:r w:rsidR="002724B2" w:rsidRPr="00584300">
        <w:t>Voir</w:t>
      </w:r>
      <w:r w:rsidR="00FF7434" w:rsidRPr="00584300">
        <w:t xml:space="preserve"> annexe N°I</w:t>
      </w:r>
      <w:r w:rsidR="00D13D50" w:rsidRPr="00584300">
        <w:t>)</w:t>
      </w:r>
    </w:p>
    <w:p w:rsidR="001D5E53" w:rsidRPr="00D15B2C" w:rsidRDefault="001D5E53" w:rsidP="001D5E53">
      <w:r w:rsidRPr="00D15B2C">
        <w:t>Dans notre analyse, nous avons utilisé deux ratios qui nous ont permis de parler d’un excès de liquidité bancaire en Algérie.</w:t>
      </w:r>
    </w:p>
    <w:p w:rsidR="001D5E53" w:rsidRPr="00D15B2C" w:rsidRDefault="001D5E53" w:rsidP="00E14508">
      <w:r w:rsidRPr="00D15B2C">
        <w:lastRenderedPageBreak/>
        <w:t xml:space="preserve">D’une part, le ratio </w:t>
      </w:r>
      <w:r>
        <w:t>dépôts bancaires</w:t>
      </w:r>
      <w:r w:rsidRPr="00D15B2C">
        <w:t> (avec comptes de régularisation</w:t>
      </w:r>
      <w:r w:rsidR="00E14508">
        <w:t xml:space="preserve"> exclus)/ PIB </w:t>
      </w:r>
      <w:r w:rsidRPr="00D15B2C">
        <w:t>qui est en baisse suite à la hausse du taux du PIB provenant essentiellement  des rentes énergétiques de l’Algérie et qui ali</w:t>
      </w:r>
      <w:r w:rsidR="00E14508">
        <w:t>mente l’actif du bilan bancaire</w:t>
      </w:r>
      <w:r w:rsidRPr="00D15B2C">
        <w:t xml:space="preserve"> et renforce sa liquidité.</w:t>
      </w:r>
    </w:p>
    <w:p w:rsidR="001D5E53" w:rsidRPr="00D15B2C" w:rsidRDefault="001D5E53" w:rsidP="001D5E53">
      <w:r w:rsidRPr="00D15B2C">
        <w:t xml:space="preserve">D’autre part, le ratio dépôts </w:t>
      </w:r>
      <w:r>
        <w:t xml:space="preserve">provenant </w:t>
      </w:r>
      <w:r w:rsidRPr="00D15B2C">
        <w:t>du secteur hydrocarbures/PIB hors hydrocarbures est en hausse suite à la baisse du PIB hors hydrocarbures.</w:t>
      </w:r>
      <w:r w:rsidR="00A17927">
        <w:t xml:space="preserve"> </w:t>
      </w:r>
      <w:r w:rsidRPr="00D15B2C">
        <w:t>De là, nous déduisons que l’économie algérienne demeure dépendante  de sa rente énergétique (97% des recettes d’exportation</w:t>
      </w:r>
      <w:r>
        <w:t>s</w:t>
      </w:r>
      <w:r w:rsidRPr="00D15B2C">
        <w:t>), et que les dépôts bancaires sont essentiellement alimentés par le secteur énergétique.</w:t>
      </w:r>
      <w:r w:rsidR="00A17927">
        <w:t xml:space="preserve"> </w:t>
      </w:r>
      <w:r w:rsidRPr="00D15B2C">
        <w:t>D’ailleurs, en fin 2010, selon les dé</w:t>
      </w:r>
      <w:r>
        <w:t>clarations du gouverneur de la B</w:t>
      </w:r>
      <w:r w:rsidRPr="00D15B2C">
        <w:t>anque d’Algérie, le taux d’expansion de M2 (13,8%) a dépassé l’objectif quantitatif en la matière arrêté par le Conseil de la monnaie et du crédit pour 2010 qui était de</w:t>
      </w:r>
      <w:r w:rsidR="00E44A61">
        <w:t xml:space="preserve"> </w:t>
      </w:r>
      <w:r w:rsidRPr="00D15B2C">
        <w:t>9 %, en raison notamment du prix moyen du baril de pétrole brut qui s’est établi à 80,15 dollars, alors que les projections monétaires et financières ont été faites sur la base d’un prix du pétrole de 76,5 dollars le baril.</w:t>
      </w:r>
    </w:p>
    <w:p w:rsidR="001D5E53" w:rsidRPr="00D15B2C" w:rsidRDefault="001D5E53" w:rsidP="001D5E53">
      <w:pPr>
        <w:rPr>
          <w:rFonts w:cs="Times New Roman"/>
          <w:szCs w:val="24"/>
        </w:rPr>
      </w:pPr>
      <w:r w:rsidRPr="00D15B2C">
        <w:rPr>
          <w:rFonts w:cs="Times New Roman"/>
          <w:szCs w:val="24"/>
        </w:rPr>
        <w:t xml:space="preserve">Le graphe ci-après représente l’évolution du PIB en% des 7 dernières années : </w:t>
      </w:r>
    </w:p>
    <w:p w:rsidR="001D5E53" w:rsidRPr="00A65C71" w:rsidRDefault="001D5E53" w:rsidP="00950AFE">
      <w:pPr>
        <w:ind w:firstLine="0"/>
      </w:pPr>
      <w:r>
        <w:rPr>
          <w:rFonts w:cs="Times New Roman"/>
          <w:b/>
          <w:bCs/>
          <w:szCs w:val="24"/>
        </w:rPr>
        <w:t>Graphe n°2</w:t>
      </w:r>
      <w:r w:rsidRPr="00D15B2C">
        <w:rPr>
          <w:rFonts w:cs="Times New Roman"/>
          <w:b/>
          <w:bCs/>
          <w:szCs w:val="24"/>
        </w:rPr>
        <w:t> : Evolution du taux de croissance du PIB</w:t>
      </w:r>
      <w:r w:rsidR="005F618B">
        <w:rPr>
          <w:rFonts w:cs="Times New Roman"/>
          <w:b/>
          <w:bCs/>
          <w:szCs w:val="24"/>
        </w:rPr>
        <w:t xml:space="preserve"> et PIB (Hors Hydrocarbures) en (%)</w:t>
      </w:r>
    </w:p>
    <w:p w:rsidR="001D5E53" w:rsidRDefault="001D5E53" w:rsidP="00E13675">
      <w:pPr>
        <w:spacing w:line="240" w:lineRule="auto"/>
        <w:jc w:val="center"/>
        <w:rPr>
          <w:rFonts w:cs="Times New Roman"/>
          <w:szCs w:val="24"/>
        </w:rPr>
      </w:pPr>
      <w:r>
        <w:rPr>
          <w:rFonts w:cs="Times New Roman"/>
          <w:noProof/>
          <w:szCs w:val="24"/>
        </w:rPr>
        <w:drawing>
          <wp:inline distT="0" distB="0" distL="0" distR="0" wp14:anchorId="22A14D37" wp14:editId="211BF180">
            <wp:extent cx="4412615" cy="2796540"/>
            <wp:effectExtent l="0" t="0" r="0" b="0"/>
            <wp:docPr id="12" name="Graphique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13675" w:rsidRPr="00E13675" w:rsidRDefault="00E13675" w:rsidP="00AC2B20">
      <w:pPr>
        <w:spacing w:line="240" w:lineRule="auto"/>
        <w:jc w:val="center"/>
        <w:rPr>
          <w:sz w:val="20"/>
          <w:szCs w:val="20"/>
        </w:rPr>
      </w:pPr>
      <w:r w:rsidRPr="00E13675">
        <w:rPr>
          <w:sz w:val="20"/>
          <w:szCs w:val="20"/>
        </w:rPr>
        <w:t>Source : Réalisé par nous-mêmes, inspiré du rapport de la direction générale du Trésor</w:t>
      </w:r>
    </w:p>
    <w:p w:rsidR="005F618B" w:rsidRDefault="005F618B" w:rsidP="001D5E53"/>
    <w:p w:rsidR="001D5E53" w:rsidRDefault="001D5E53" w:rsidP="001D5E53">
      <w:r w:rsidRPr="00D15B2C">
        <w:t xml:space="preserve">Cependant, afin de calculer les deux ratios précédents, nous avons réalisé le tableau n°6, où nous avons cerné les données du PIB et </w:t>
      </w:r>
      <w:r>
        <w:t>les</w:t>
      </w:r>
      <w:r w:rsidRPr="00D15B2C">
        <w:t xml:space="preserve"> dépôts bancaires depuis l’année 2010 jusqu’à l’année 2013.</w:t>
      </w:r>
    </w:p>
    <w:p w:rsidR="001D5E53" w:rsidRPr="00B319A8" w:rsidRDefault="001D5E53" w:rsidP="00950AFE">
      <w:pPr>
        <w:ind w:firstLine="0"/>
      </w:pPr>
      <w:r w:rsidRPr="00D15B2C">
        <w:rPr>
          <w:rFonts w:cs="Times New Roman"/>
          <w:b/>
          <w:bCs/>
          <w:szCs w:val="24"/>
        </w:rPr>
        <w:lastRenderedPageBreak/>
        <w:t>Tableau n° </w:t>
      </w:r>
      <w:r>
        <w:rPr>
          <w:rFonts w:cs="Times New Roman"/>
          <w:b/>
          <w:bCs/>
          <w:szCs w:val="24"/>
        </w:rPr>
        <w:t>6</w:t>
      </w:r>
      <w:r w:rsidRPr="00D15B2C">
        <w:rPr>
          <w:rFonts w:cs="Times New Roman"/>
          <w:b/>
          <w:bCs/>
          <w:szCs w:val="24"/>
        </w:rPr>
        <w:t>: Calcul du ratio dépôts bancaires/PIB</w:t>
      </w:r>
      <w:r>
        <w:rPr>
          <w:rFonts w:cs="Times New Roman"/>
          <w:b/>
          <w:bCs/>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38"/>
        <w:gridCol w:w="1557"/>
        <w:gridCol w:w="1556"/>
        <w:gridCol w:w="1556"/>
        <w:gridCol w:w="1556"/>
      </w:tblGrid>
      <w:tr w:rsidR="003D2044" w:rsidRPr="003D2044" w:rsidTr="0044342C">
        <w:trPr>
          <w:trHeight w:val="421"/>
        </w:trPr>
        <w:tc>
          <w:tcPr>
            <w:tcW w:w="2938" w:type="dxa"/>
            <w:vAlign w:val="center"/>
          </w:tcPr>
          <w:p w:rsidR="003D2044" w:rsidRPr="003D2044" w:rsidRDefault="003D2044" w:rsidP="003D2044">
            <w:pPr>
              <w:spacing w:before="0" w:after="0" w:line="240" w:lineRule="auto"/>
              <w:ind w:firstLine="0"/>
              <w:jc w:val="center"/>
              <w:rPr>
                <w:rFonts w:eastAsia="Calibri" w:cs="Times New Roman"/>
                <w:szCs w:val="24"/>
                <w:lang w:eastAsia="en-US"/>
              </w:rPr>
            </w:pPr>
          </w:p>
        </w:tc>
        <w:tc>
          <w:tcPr>
            <w:tcW w:w="155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2010</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2011</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2012</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2013</w:t>
            </w:r>
          </w:p>
        </w:tc>
      </w:tr>
      <w:tr w:rsidR="003D2044" w:rsidRPr="003D2044" w:rsidTr="0044342C">
        <w:trPr>
          <w:trHeight w:val="379"/>
        </w:trPr>
        <w:tc>
          <w:tcPr>
            <w:tcW w:w="2938" w:type="dxa"/>
            <w:vAlign w:val="center"/>
          </w:tcPr>
          <w:p w:rsidR="003D2044" w:rsidRPr="003D2044" w:rsidRDefault="003D2044" w:rsidP="003D2044">
            <w:pPr>
              <w:spacing w:before="0" w:after="0" w:line="240" w:lineRule="auto"/>
              <w:ind w:firstLine="0"/>
              <w:jc w:val="center"/>
              <w:rPr>
                <w:rFonts w:eastAsia="Calibri" w:cs="Times New Roman"/>
                <w:szCs w:val="24"/>
                <w:lang w:eastAsia="en-US"/>
              </w:rPr>
            </w:pPr>
            <w:r w:rsidRPr="003D2044">
              <w:rPr>
                <w:rFonts w:eastAsia="Calibri" w:cs="Times New Roman"/>
                <w:szCs w:val="24"/>
                <w:lang w:eastAsia="en-US"/>
              </w:rPr>
              <w:t>PIB (MD$)</w:t>
            </w:r>
          </w:p>
        </w:tc>
        <w:tc>
          <w:tcPr>
            <w:tcW w:w="155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158,97</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183,4</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188,6</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210,2</w:t>
            </w:r>
          </w:p>
        </w:tc>
      </w:tr>
      <w:tr w:rsidR="003D2044" w:rsidRPr="003D2044" w:rsidTr="0044342C">
        <w:trPr>
          <w:trHeight w:val="374"/>
        </w:trPr>
        <w:tc>
          <w:tcPr>
            <w:tcW w:w="2938" w:type="dxa"/>
            <w:vAlign w:val="center"/>
          </w:tcPr>
          <w:p w:rsidR="003D2044" w:rsidRPr="003D2044" w:rsidRDefault="003D2044" w:rsidP="003D2044">
            <w:pPr>
              <w:spacing w:before="0" w:after="0" w:line="240" w:lineRule="auto"/>
              <w:ind w:firstLine="0"/>
              <w:jc w:val="center"/>
              <w:rPr>
                <w:rFonts w:eastAsia="Calibri" w:cs="Times New Roman"/>
                <w:szCs w:val="24"/>
                <w:lang w:eastAsia="en-US"/>
              </w:rPr>
            </w:pPr>
            <w:r w:rsidRPr="003D2044">
              <w:rPr>
                <w:rFonts w:eastAsia="Calibri" w:cs="Times New Roman"/>
                <w:szCs w:val="24"/>
                <w:lang w:eastAsia="en-US"/>
              </w:rPr>
              <w:t>Dépôts bancaires (avec comptes de régularisations exclus)</w:t>
            </w:r>
          </w:p>
        </w:tc>
        <w:tc>
          <w:tcPr>
            <w:tcW w:w="155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5395</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6283,3</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6690</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7229,2</w:t>
            </w:r>
          </w:p>
        </w:tc>
      </w:tr>
      <w:tr w:rsidR="003D2044" w:rsidRPr="003D2044" w:rsidTr="0044342C">
        <w:trPr>
          <w:trHeight w:val="381"/>
        </w:trPr>
        <w:tc>
          <w:tcPr>
            <w:tcW w:w="2938" w:type="dxa"/>
            <w:vAlign w:val="center"/>
          </w:tcPr>
          <w:p w:rsidR="003D2044" w:rsidRPr="003D2044" w:rsidRDefault="003D2044" w:rsidP="003D2044">
            <w:pPr>
              <w:spacing w:before="0" w:after="0" w:line="240" w:lineRule="auto"/>
              <w:ind w:firstLine="0"/>
              <w:jc w:val="center"/>
              <w:rPr>
                <w:rFonts w:eastAsia="Calibri" w:cs="Times New Roman"/>
                <w:szCs w:val="24"/>
                <w:lang w:eastAsia="en-US"/>
              </w:rPr>
            </w:pPr>
            <w:r w:rsidRPr="003D2044">
              <w:rPr>
                <w:rFonts w:eastAsia="Calibri" w:cs="Times New Roman"/>
                <w:szCs w:val="24"/>
                <w:lang w:eastAsia="en-US"/>
              </w:rPr>
              <w:t>Calcul du ratio (dépôts bancaires/PIB)</w:t>
            </w:r>
          </w:p>
        </w:tc>
        <w:tc>
          <w:tcPr>
            <w:tcW w:w="155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1,24</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1,19</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1,25</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1,35</w:t>
            </w:r>
          </w:p>
        </w:tc>
      </w:tr>
      <w:tr w:rsidR="003D2044" w:rsidRPr="003D2044" w:rsidTr="0044342C">
        <w:trPr>
          <w:trHeight w:val="376"/>
        </w:trPr>
        <w:tc>
          <w:tcPr>
            <w:tcW w:w="2938" w:type="dxa"/>
            <w:vAlign w:val="center"/>
          </w:tcPr>
          <w:p w:rsidR="003D2044" w:rsidRPr="003D2044" w:rsidRDefault="003D2044" w:rsidP="003D2044">
            <w:pPr>
              <w:spacing w:before="0" w:after="0" w:line="240" w:lineRule="auto"/>
              <w:ind w:firstLine="0"/>
              <w:jc w:val="center"/>
              <w:rPr>
                <w:rFonts w:eastAsia="Calibri" w:cs="Times New Roman"/>
                <w:szCs w:val="24"/>
                <w:lang w:eastAsia="en-US"/>
              </w:rPr>
            </w:pPr>
            <w:r w:rsidRPr="003D2044">
              <w:rPr>
                <w:rFonts w:eastAsia="Calibri" w:cs="Times New Roman"/>
                <w:szCs w:val="24"/>
                <w:lang w:eastAsia="en-US"/>
              </w:rPr>
              <w:t>PIB hors hydrocarbures</w:t>
            </w:r>
          </w:p>
          <w:p w:rsidR="003D2044" w:rsidRPr="003D2044" w:rsidRDefault="003D2044" w:rsidP="003D2044">
            <w:pPr>
              <w:spacing w:before="0" w:after="0" w:line="240" w:lineRule="auto"/>
              <w:ind w:firstLine="0"/>
              <w:jc w:val="center"/>
              <w:rPr>
                <w:rFonts w:eastAsia="Calibri" w:cs="Times New Roman"/>
                <w:szCs w:val="24"/>
                <w:lang w:eastAsia="en-US"/>
              </w:rPr>
            </w:pPr>
            <w:r w:rsidRPr="003D2044">
              <w:rPr>
                <w:rFonts w:eastAsia="Calibri" w:cs="Times New Roman"/>
                <w:szCs w:val="24"/>
                <w:lang w:eastAsia="en-US"/>
              </w:rPr>
              <w:t>(MD$)</w:t>
            </w:r>
          </w:p>
        </w:tc>
        <w:tc>
          <w:tcPr>
            <w:tcW w:w="155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110</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120</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125</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149</w:t>
            </w:r>
          </w:p>
        </w:tc>
      </w:tr>
      <w:tr w:rsidR="003D2044" w:rsidRPr="003D2044" w:rsidTr="0044342C">
        <w:trPr>
          <w:trHeight w:val="372"/>
        </w:trPr>
        <w:tc>
          <w:tcPr>
            <w:tcW w:w="2938" w:type="dxa"/>
            <w:vAlign w:val="center"/>
          </w:tcPr>
          <w:p w:rsidR="003D2044" w:rsidRPr="003D2044" w:rsidRDefault="003D2044" w:rsidP="003D2044">
            <w:pPr>
              <w:spacing w:before="0" w:after="0" w:line="240" w:lineRule="auto"/>
              <w:ind w:firstLine="0"/>
              <w:jc w:val="center"/>
              <w:rPr>
                <w:rFonts w:eastAsia="Calibri" w:cs="Times New Roman"/>
                <w:szCs w:val="24"/>
                <w:lang w:eastAsia="en-US"/>
              </w:rPr>
            </w:pPr>
            <w:r w:rsidRPr="003D2044">
              <w:rPr>
                <w:rFonts w:eastAsia="Calibri" w:cs="Times New Roman"/>
                <w:szCs w:val="24"/>
                <w:lang w:eastAsia="en-US"/>
              </w:rPr>
              <w:t>Les recettes hydrocarbures</w:t>
            </w:r>
          </w:p>
          <w:p w:rsidR="003D2044" w:rsidRPr="003D2044" w:rsidRDefault="003D2044" w:rsidP="003D2044">
            <w:pPr>
              <w:spacing w:before="0" w:after="0" w:line="240" w:lineRule="auto"/>
              <w:ind w:firstLine="0"/>
              <w:jc w:val="center"/>
              <w:rPr>
                <w:rFonts w:eastAsia="Calibri" w:cs="Times New Roman"/>
                <w:szCs w:val="24"/>
                <w:lang w:eastAsia="en-US"/>
              </w:rPr>
            </w:pPr>
            <w:r w:rsidRPr="003D2044">
              <w:rPr>
                <w:rFonts w:eastAsia="Calibri" w:cs="Times New Roman"/>
                <w:szCs w:val="24"/>
                <w:lang w:eastAsia="en-US"/>
              </w:rPr>
              <w:t>(MD$)</w:t>
            </w:r>
          </w:p>
        </w:tc>
        <w:tc>
          <w:tcPr>
            <w:tcW w:w="155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1500</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2500</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2700</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2900</w:t>
            </w:r>
          </w:p>
        </w:tc>
      </w:tr>
      <w:tr w:rsidR="003D2044" w:rsidRPr="003D2044" w:rsidTr="0044342C">
        <w:trPr>
          <w:trHeight w:val="372"/>
        </w:trPr>
        <w:tc>
          <w:tcPr>
            <w:tcW w:w="2938" w:type="dxa"/>
            <w:vAlign w:val="center"/>
          </w:tcPr>
          <w:p w:rsidR="003D2044" w:rsidRPr="003D2044" w:rsidRDefault="003D2044" w:rsidP="003D2044">
            <w:pPr>
              <w:spacing w:before="0" w:after="0" w:line="240" w:lineRule="auto"/>
              <w:ind w:firstLine="0"/>
              <w:jc w:val="center"/>
              <w:rPr>
                <w:rFonts w:eastAsia="Calibri" w:cs="Times New Roman"/>
                <w:szCs w:val="24"/>
                <w:lang w:eastAsia="en-US"/>
              </w:rPr>
            </w:pPr>
            <w:r w:rsidRPr="003D2044">
              <w:rPr>
                <w:rFonts w:eastAsia="Calibri" w:cs="Times New Roman"/>
                <w:szCs w:val="24"/>
                <w:lang w:eastAsia="en-US"/>
              </w:rPr>
              <w:t>Calcul du ratio recettes hydrocarbures/PIB HH</w:t>
            </w:r>
          </w:p>
        </w:tc>
        <w:tc>
          <w:tcPr>
            <w:tcW w:w="1557"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13,64</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20,83</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21,6</w:t>
            </w:r>
          </w:p>
        </w:tc>
        <w:tc>
          <w:tcPr>
            <w:tcW w:w="1556" w:type="dxa"/>
            <w:vAlign w:val="center"/>
          </w:tcPr>
          <w:p w:rsidR="003D2044" w:rsidRPr="003D2044" w:rsidRDefault="003D2044" w:rsidP="003D2044">
            <w:pPr>
              <w:spacing w:before="0" w:after="0" w:line="240" w:lineRule="auto"/>
              <w:ind w:firstLine="0"/>
              <w:jc w:val="center"/>
              <w:rPr>
                <w:rFonts w:eastAsia="Calibri" w:cs="Times New Roman"/>
                <w:b/>
                <w:bCs/>
                <w:szCs w:val="24"/>
                <w:lang w:eastAsia="en-US"/>
              </w:rPr>
            </w:pPr>
            <w:r w:rsidRPr="003D2044">
              <w:rPr>
                <w:rFonts w:eastAsia="Calibri" w:cs="Times New Roman"/>
                <w:b/>
                <w:bCs/>
                <w:szCs w:val="24"/>
                <w:lang w:eastAsia="en-US"/>
              </w:rPr>
              <w:t>19,46</w:t>
            </w:r>
          </w:p>
        </w:tc>
      </w:tr>
    </w:tbl>
    <w:p w:rsidR="003D2044" w:rsidRPr="00B61D37" w:rsidRDefault="00E13675" w:rsidP="00E13675">
      <w:pPr>
        <w:jc w:val="right"/>
        <w:rPr>
          <w:sz w:val="20"/>
          <w:szCs w:val="20"/>
        </w:rPr>
      </w:pPr>
      <w:r w:rsidRPr="00B61D37">
        <w:rPr>
          <w:rFonts w:cs="Times New Roman"/>
          <w:sz w:val="20"/>
          <w:szCs w:val="20"/>
        </w:rPr>
        <w:t>Source : réalisé par nous-mêmes</w:t>
      </w:r>
    </w:p>
    <w:p w:rsidR="001D5E53" w:rsidRPr="00D15B2C" w:rsidRDefault="001D5E53" w:rsidP="001D5E53">
      <w:r w:rsidRPr="00D15B2C">
        <w:t xml:space="preserve">Après le calcul des deux ratios, nous </w:t>
      </w:r>
      <w:r>
        <w:t>constatons</w:t>
      </w:r>
      <w:r w:rsidRPr="00D15B2C">
        <w:t xml:space="preserve"> une hausse </w:t>
      </w:r>
      <w:r>
        <w:t>du ratio durant</w:t>
      </w:r>
      <w:r w:rsidRPr="00D15B2C">
        <w:t xml:space="preserve"> ces trois (03) années, ce qui nous incite à dire que malgré </w:t>
      </w:r>
      <w:r>
        <w:t>la croissance des</w:t>
      </w:r>
      <w:r w:rsidRPr="00D15B2C">
        <w:t xml:space="preserve"> dépôts bancaires</w:t>
      </w:r>
      <w:r>
        <w:t xml:space="preserve">, le PIB évolue plus rapidement, </w:t>
      </w:r>
      <w:r w:rsidRPr="00D15B2C">
        <w:t>alimenté par les rece</w:t>
      </w:r>
      <w:r>
        <w:t>ttes hydrocarbures bien entendu.</w:t>
      </w:r>
    </w:p>
    <w:p w:rsidR="001D5E53" w:rsidRPr="00D15B2C" w:rsidRDefault="001D5E53" w:rsidP="006517B5">
      <w:pPr>
        <w:pStyle w:val="Titre1"/>
        <w:keepNext/>
        <w:keepLines/>
        <w:numPr>
          <w:ilvl w:val="0"/>
          <w:numId w:val="35"/>
        </w:numPr>
      </w:pPr>
      <w:bookmarkStart w:id="60" w:name="_Toc431416583"/>
      <w:bookmarkStart w:id="61" w:name="_Toc431980013"/>
      <w:r w:rsidRPr="00D15B2C">
        <w:t xml:space="preserve">Les indicateur de stabilité du secteur bancaire algérien (ratio </w:t>
      </w:r>
      <w:r w:rsidR="00C161AE">
        <w:t xml:space="preserve">des </w:t>
      </w:r>
      <w:r w:rsidRPr="00D15B2C">
        <w:t>dépôts collectés</w:t>
      </w:r>
      <w:r w:rsidR="00E14508">
        <w:t>/</w:t>
      </w:r>
      <w:r w:rsidR="00E14508" w:rsidRPr="00D15B2C">
        <w:t>crédits accordés</w:t>
      </w:r>
      <w:r w:rsidRPr="00D15B2C">
        <w:t>)</w:t>
      </w:r>
      <w:bookmarkEnd w:id="60"/>
      <w:bookmarkEnd w:id="61"/>
    </w:p>
    <w:p w:rsidR="001D5E53" w:rsidRPr="00D15B2C" w:rsidRDefault="001D5E53" w:rsidP="001D5E53">
      <w:r w:rsidRPr="00D15B2C">
        <w:t xml:space="preserve">Dans l’optique de mesurer l’excès de liquidité des banques, nous avons opté pour les indicateurs de stabilité du secteur bancaire qui consiste à analyser l’ensemble des ressources collectées et des crédits attribués par les banques algériennes depuis le début des années 2000, et donc de calculer le ratio crédits accordés/dépôts collectés. </w:t>
      </w:r>
    </w:p>
    <w:p w:rsidR="001D5E53" w:rsidRPr="00D15B2C" w:rsidRDefault="006517B5" w:rsidP="001D5E53">
      <w:pPr>
        <w:pStyle w:val="Titre2"/>
      </w:pPr>
      <w:bookmarkStart w:id="62" w:name="_Toc431416584"/>
      <w:bookmarkStart w:id="63" w:name="_Toc431980014"/>
      <w:r>
        <w:t>3</w:t>
      </w:r>
      <w:r w:rsidR="00E44A61">
        <w:t xml:space="preserve">.1 </w:t>
      </w:r>
      <w:r w:rsidR="001D5E53" w:rsidRPr="00D15B2C">
        <w:t xml:space="preserve"> Les ressources collectées par les banques</w:t>
      </w:r>
      <w:bookmarkEnd w:id="62"/>
      <w:bookmarkEnd w:id="63"/>
    </w:p>
    <w:p w:rsidR="001D5E53" w:rsidRPr="00D15B2C" w:rsidRDefault="001D5E53" w:rsidP="001D5E53">
      <w:r>
        <w:t>L’Algérie</w:t>
      </w:r>
      <w:r w:rsidRPr="00D15B2C">
        <w:t xml:space="preserve"> disposait durant ces dernières années de ressources considérables en </w:t>
      </w:r>
      <w:r>
        <w:t>Dinars</w:t>
      </w:r>
      <w:r w:rsidRPr="00D15B2C">
        <w:t xml:space="preserve"> et également en devises</w:t>
      </w:r>
      <w:r w:rsidR="00001FBA">
        <w:t xml:space="preserve"> (voir annexe N°1)</w:t>
      </w:r>
      <w:r w:rsidRPr="00D15B2C">
        <w:t> ; qui proviennent de la hausse du prix du pétrole, du moins, jusqu’à une date récente, qui a entrainé l’augmentation du volume des devises, dont l’achat par la banque centrale a engendré un accroissement de l’émission de monnaie et de celui de la liquidité.</w:t>
      </w:r>
      <w:r w:rsidR="00223035">
        <w:t> </w:t>
      </w:r>
    </w:p>
    <w:p w:rsidR="001D5E53" w:rsidRPr="00D15B2C" w:rsidRDefault="001D5E53" w:rsidP="001D5E53">
      <w:r w:rsidRPr="00D15B2C">
        <w:t xml:space="preserve">L’excès de liquidité se manifeste par l’existence de masse énorme de ressources monétaire qui n’est qu’en partie utilisés. Une partie de ces ressources a servi aux besoins de la consommation et de la production, elle a contribué également à la réalisation des infrastructures économiques et sociales, au remboursement par anticipation de la dette </w:t>
      </w:r>
      <w:r w:rsidRPr="00D15B2C">
        <w:lastRenderedPageBreak/>
        <w:t xml:space="preserve">extérieure et au renforcement de la politique d'assistance sous toutes les formes en vue, dit-on, de préserver la paix sociale. Mais toute une autre partie des ressources aussi bien en </w:t>
      </w:r>
      <w:r>
        <w:t>Dinars</w:t>
      </w:r>
      <w:r w:rsidRPr="00D15B2C">
        <w:t xml:space="preserve"> qu'en devises est restée pour ainsi dire oisive. Les sommes en </w:t>
      </w:r>
      <w:r>
        <w:t>Dinars</w:t>
      </w:r>
      <w:r w:rsidRPr="00D15B2C">
        <w:t xml:space="preserve"> au lieu de servir à créer des richesses exercent une pression sur les prix et risquent d'augmenter le taux d'inflation. </w:t>
      </w:r>
    </w:p>
    <w:p w:rsidR="001D5E53" w:rsidRPr="00D15B2C" w:rsidRDefault="001D5E53" w:rsidP="001D5E53">
      <w:r w:rsidRPr="00D15B2C">
        <w:t xml:space="preserve">Quant aux avoirs en devises, s'ils ne servent pas à couvrir des importations, ils sont placés en bons du Trésor américain surtout, ou auprès de certaines banques étrangères. La Banque </w:t>
      </w:r>
      <w:r>
        <w:t>C</w:t>
      </w:r>
      <w:r w:rsidRPr="00D15B2C">
        <w:t xml:space="preserve">entrale </w:t>
      </w:r>
      <w:r>
        <w:t>met tout en œuvre afin d’</w:t>
      </w:r>
      <w:r w:rsidRPr="00D15B2C">
        <w:t>éviter leur dépréciation du fait des fluctuations des principales devises et pour en tirer un revenu, bien que modeste, à cause de la faiblesse des taux de rémunération sur le marché financier international. Il n'en reste pas moins qu'ils sont mis à la déposition de banques et de pays étrangers au lieu d'être utilisés à développer les investissements productifs sans recourir aux crédits extérieurs comme le préconise la Banque centrale.</w:t>
      </w:r>
    </w:p>
    <w:p w:rsidR="001D5E53" w:rsidRPr="00D15B2C" w:rsidRDefault="001D5E53" w:rsidP="0003476B">
      <w:r w:rsidRPr="00D15B2C">
        <w:t>Il importe de souligner aussi que les ressources bancaires n’ont cessé de croitre pendant ces dernières années. L’activité collecte des ressources à vue et à terme des banques ont progressé de 8,1% en 2013 contre 6,5% en 2012, à en croire les données de la Banque d’Algérie</w:t>
      </w:r>
      <w:r w:rsidR="0003476B">
        <w:rPr>
          <w:rStyle w:val="Appelnotedebasdep"/>
        </w:rPr>
        <w:footnoteReference w:id="32"/>
      </w:r>
      <w:r w:rsidRPr="00D15B2C">
        <w:t>.</w:t>
      </w:r>
    </w:p>
    <w:p w:rsidR="00C161AE" w:rsidRDefault="00C161AE" w:rsidP="001D5E53"/>
    <w:p w:rsidR="00C161AE" w:rsidRDefault="00C161AE" w:rsidP="001D5E53"/>
    <w:p w:rsidR="00C161AE" w:rsidRDefault="00C161AE" w:rsidP="001D5E53"/>
    <w:p w:rsidR="00C161AE" w:rsidRDefault="00C161AE" w:rsidP="001D5E53"/>
    <w:p w:rsidR="00C161AE" w:rsidRDefault="00C161AE" w:rsidP="001D5E53"/>
    <w:p w:rsidR="00C161AE" w:rsidRDefault="00C161AE" w:rsidP="001D5E53"/>
    <w:p w:rsidR="00C161AE" w:rsidRDefault="00C161AE" w:rsidP="001D5E53"/>
    <w:p w:rsidR="00C161AE" w:rsidRDefault="00C161AE" w:rsidP="001D5E53"/>
    <w:p w:rsidR="00C161AE" w:rsidRDefault="00C161AE" w:rsidP="001D5E53"/>
    <w:p w:rsidR="00C161AE" w:rsidRDefault="00C161AE" w:rsidP="001D5E53"/>
    <w:p w:rsidR="005F618B" w:rsidRDefault="005F618B" w:rsidP="001D5E53"/>
    <w:p w:rsidR="001D5E53" w:rsidRDefault="001D5E53" w:rsidP="00E44A61">
      <w:r w:rsidRPr="00D15B2C">
        <w:lastRenderedPageBreak/>
        <w:t xml:space="preserve">Les données ci-après relatives aux banques en témoignent de l’importance des ressources des banques : </w:t>
      </w:r>
    </w:p>
    <w:p w:rsidR="001D5E53" w:rsidRPr="00060EA3" w:rsidRDefault="001D5E53" w:rsidP="00381574">
      <w:pPr>
        <w:ind w:firstLine="0"/>
        <w:rPr>
          <w:b/>
          <w:bCs/>
          <w:szCs w:val="24"/>
        </w:rPr>
      </w:pPr>
      <w:r w:rsidRPr="00060EA3">
        <w:rPr>
          <w:b/>
          <w:bCs/>
          <w:szCs w:val="24"/>
        </w:rPr>
        <w:t>Tabl</w:t>
      </w:r>
      <w:r w:rsidR="00381574">
        <w:rPr>
          <w:b/>
          <w:bCs/>
          <w:szCs w:val="24"/>
        </w:rPr>
        <w:t>eau n° 7 : Les dépôts bancaires</w:t>
      </w:r>
    </w:p>
    <w:p w:rsidR="001D5E53" w:rsidRDefault="001D5E53" w:rsidP="00381574">
      <w:pPr>
        <w:spacing w:before="0" w:after="0" w:line="240" w:lineRule="auto"/>
        <w:ind w:firstLine="0"/>
        <w:jc w:val="center"/>
        <w:rPr>
          <w:rFonts w:cs="Times New Roman"/>
          <w:szCs w:val="24"/>
        </w:rPr>
      </w:pPr>
      <w:r>
        <w:rPr>
          <w:rFonts w:cs="Times New Roman"/>
          <w:noProof/>
          <w:szCs w:val="24"/>
        </w:rPr>
        <w:drawing>
          <wp:inline distT="0" distB="0" distL="0" distR="0" wp14:anchorId="3A5E2CA3" wp14:editId="49E342E7">
            <wp:extent cx="5677572" cy="4093535"/>
            <wp:effectExtent l="19050" t="19050" r="18415" b="21590"/>
            <wp:docPr id="11" name="Image 11" descr="C:\Users\compta2014\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descr="C:\Users\compta2014\Desktop\Capture.PNG"/>
                    <pic:cNvPicPr>
                      <a:picLocks noChangeAspect="1" noChangeArrowheads="1"/>
                    </pic:cNvPicPr>
                  </pic:nvPicPr>
                  <pic:blipFill>
                    <a:blip r:embed="rId24">
                      <a:extLst>
                        <a:ext uri="{28A0092B-C50C-407E-A947-70E740481C1C}">
                          <a14:useLocalDpi xmlns:a14="http://schemas.microsoft.com/office/drawing/2010/main" val="0"/>
                        </a:ext>
                      </a:extLst>
                    </a:blip>
                    <a:srcRect l="1477" t="3430"/>
                    <a:stretch>
                      <a:fillRect/>
                    </a:stretch>
                  </pic:blipFill>
                  <pic:spPr bwMode="auto">
                    <a:xfrm>
                      <a:off x="0" y="0"/>
                      <a:ext cx="5677535" cy="4093509"/>
                    </a:xfrm>
                    <a:prstGeom prst="rect">
                      <a:avLst/>
                    </a:prstGeom>
                    <a:noFill/>
                    <a:ln>
                      <a:solidFill>
                        <a:schemeClr val="tx1">
                          <a:alpha val="95000"/>
                        </a:schemeClr>
                      </a:solidFill>
                    </a:ln>
                  </pic:spPr>
                </pic:pic>
              </a:graphicData>
            </a:graphic>
          </wp:inline>
        </w:drawing>
      </w:r>
    </w:p>
    <w:p w:rsidR="00381574" w:rsidRPr="00381574" w:rsidRDefault="00381574" w:rsidP="00381574">
      <w:pPr>
        <w:spacing w:before="0" w:after="0" w:line="240" w:lineRule="auto"/>
        <w:ind w:firstLine="0"/>
        <w:jc w:val="center"/>
        <w:rPr>
          <w:rFonts w:cs="Times New Roman"/>
          <w:sz w:val="20"/>
          <w:szCs w:val="20"/>
        </w:rPr>
      </w:pPr>
      <w:r w:rsidRPr="00381574">
        <w:rPr>
          <w:sz w:val="20"/>
          <w:szCs w:val="20"/>
        </w:rPr>
        <w:t>Source : rapport 2013 de la Banque d’Algérie</w:t>
      </w:r>
      <w:r w:rsidR="00B61D37">
        <w:rPr>
          <w:sz w:val="20"/>
          <w:szCs w:val="20"/>
        </w:rPr>
        <w:t>, P 75</w:t>
      </w:r>
    </w:p>
    <w:p w:rsidR="00E14508" w:rsidRDefault="00E14508" w:rsidP="001D5E53"/>
    <w:p w:rsidR="001D5E53" w:rsidRPr="00D15B2C" w:rsidRDefault="001D5E53" w:rsidP="001D5E53">
      <w:r w:rsidRPr="00D15B2C">
        <w:t xml:space="preserve">D’après les données de ce tableau, nous constatons que le total des ressources collectées a progressé de près de 1968,3 milliards de </w:t>
      </w:r>
      <w:r>
        <w:t>Dinars</w:t>
      </w:r>
      <w:r w:rsidRPr="00D15B2C">
        <w:t xml:space="preserve"> entre 2010 et 2013, et cela est dû, bien entendu</w:t>
      </w:r>
      <w:r>
        <w:t>,</w:t>
      </w:r>
      <w:r w:rsidRPr="00D15B2C">
        <w:t xml:space="preserve"> à l’augmentation des différents dépôts auprès des banques. </w:t>
      </w:r>
    </w:p>
    <w:p w:rsidR="001D5E53" w:rsidRPr="00D15B2C" w:rsidRDefault="001D5E53" w:rsidP="001D5E53">
      <w:r w:rsidRPr="00D15B2C">
        <w:t>Les différents dépôts sont principalement en hausse, mais la part des dépôts à vues étai</w:t>
      </w:r>
      <w:r>
        <w:t>t</w:t>
      </w:r>
      <w:r w:rsidRPr="00D15B2C">
        <w:t xml:space="preserve"> en baisse entre 2010 et 2011 suivant la baisse des dépôts du secteur des hydrocarbures. </w:t>
      </w:r>
    </w:p>
    <w:p w:rsidR="001D5E53" w:rsidRPr="00D15B2C" w:rsidRDefault="006517B5" w:rsidP="001D5E53">
      <w:pPr>
        <w:pStyle w:val="Titre2"/>
      </w:pPr>
      <w:bookmarkStart w:id="64" w:name="_Toc431416585"/>
      <w:bookmarkStart w:id="65" w:name="_Toc431980015"/>
      <w:r>
        <w:t>3</w:t>
      </w:r>
      <w:r w:rsidR="00E44A61">
        <w:t xml:space="preserve">.2 </w:t>
      </w:r>
      <w:r w:rsidR="001D5E53" w:rsidRPr="00D15B2C">
        <w:t xml:space="preserve"> Les crédits accordés par les banques</w:t>
      </w:r>
      <w:bookmarkEnd w:id="64"/>
      <w:bookmarkEnd w:id="65"/>
    </w:p>
    <w:p w:rsidR="001D5E53" w:rsidRPr="00D15B2C" w:rsidRDefault="001D5E53" w:rsidP="00B9505B">
      <w:r w:rsidRPr="00D15B2C">
        <w:t xml:space="preserve">L’ensemble des crédits octroyés par les banques </w:t>
      </w:r>
      <w:r>
        <w:t>est</w:t>
      </w:r>
      <w:r w:rsidRPr="00D15B2C">
        <w:t xml:space="preserve"> un second indicateur de stabilité du système bancaire qui semble être déconnecté du système international en raison de sa dépendance de la </w:t>
      </w:r>
      <w:r>
        <w:t>r</w:t>
      </w:r>
      <w:r w:rsidRPr="00D15B2C">
        <w:t xml:space="preserve">ente pétrolière. </w:t>
      </w:r>
    </w:p>
    <w:p w:rsidR="001D5E53" w:rsidRPr="00D15B2C" w:rsidRDefault="001D5E53" w:rsidP="00DC2690">
      <w:r w:rsidRPr="00D15B2C">
        <w:t xml:space="preserve">Depuis la fin de </w:t>
      </w:r>
      <w:r>
        <w:t xml:space="preserve">l’année </w:t>
      </w:r>
      <w:r w:rsidRPr="00D15B2C">
        <w:t xml:space="preserve">2011, la banque publique Crédit </w:t>
      </w:r>
      <w:r>
        <w:t>P</w:t>
      </w:r>
      <w:r w:rsidRPr="00D15B2C">
        <w:t xml:space="preserve">opulaire d’Algérie (CPA) et la Caisse </w:t>
      </w:r>
      <w:r>
        <w:t>N</w:t>
      </w:r>
      <w:r w:rsidRPr="00D15B2C">
        <w:t>ationale d’</w:t>
      </w:r>
      <w:r>
        <w:t>E</w:t>
      </w:r>
      <w:r w:rsidRPr="00D15B2C">
        <w:t xml:space="preserve">pargne et de </w:t>
      </w:r>
      <w:r>
        <w:t>P</w:t>
      </w:r>
      <w:r w:rsidRPr="00D15B2C">
        <w:t>révoyance (C</w:t>
      </w:r>
      <w:r>
        <w:t>NEP</w:t>
      </w:r>
      <w:r w:rsidR="00E44A61">
        <w:t xml:space="preserve"> Banque</w:t>
      </w:r>
      <w:r w:rsidRPr="00D15B2C">
        <w:t xml:space="preserve">) ont été désignées pour </w:t>
      </w:r>
      <w:r w:rsidRPr="00D15B2C">
        <w:lastRenderedPageBreak/>
        <w:t xml:space="preserve">assurer le financement des programmes publics dans les secteurs de l’immobilier et de l’énergie. </w:t>
      </w:r>
      <w:r w:rsidR="00DC2690">
        <w:t xml:space="preserve"> L</w:t>
      </w:r>
      <w:r w:rsidR="00E44A61">
        <w:t>e CPA a été choisi</w:t>
      </w:r>
      <w:r w:rsidRPr="00D15B2C">
        <w:t xml:space="preserve"> comme chef de file d’un consortium de banques publiques pour le financement d’un programme de construction de 300 000 logements de type location-vente et des Logements </w:t>
      </w:r>
      <w:r>
        <w:t>P</w:t>
      </w:r>
      <w:r w:rsidRPr="00D15B2C">
        <w:t xml:space="preserve">romotionnels </w:t>
      </w:r>
      <w:r>
        <w:t>P</w:t>
      </w:r>
      <w:r w:rsidRPr="00D15B2C">
        <w:t xml:space="preserve">ublics (LPP). Cette dernière a octroyé 40 milliards de </w:t>
      </w:r>
      <w:r>
        <w:t>Dinars</w:t>
      </w:r>
      <w:r w:rsidRPr="00D15B2C">
        <w:t xml:space="preserve"> en crédits immobiliers en 2012.</w:t>
      </w:r>
    </w:p>
    <w:p w:rsidR="001D5E53" w:rsidRPr="00D15B2C" w:rsidRDefault="001D5E53" w:rsidP="001D5E53">
      <w:r w:rsidRPr="00D15B2C">
        <w:t>Quant à la C</w:t>
      </w:r>
      <w:r>
        <w:t>NEP</w:t>
      </w:r>
      <w:r w:rsidR="00E44A61">
        <w:t xml:space="preserve"> Banque</w:t>
      </w:r>
      <w:r w:rsidRPr="00D15B2C">
        <w:t xml:space="preserve">, spécialisée dans la collecte de l’épargne et </w:t>
      </w:r>
      <w:r>
        <w:t>d</w:t>
      </w:r>
      <w:r w:rsidRPr="00D15B2C">
        <w:t>es crédits immobiliers aux particuliers depuis sa création en 1964, elle a procédé à un revirement stratégique de son mode de fonctionnement. Elle s’est orientée vers le financement des projets d’investissements publics du groupe énergétique S</w:t>
      </w:r>
      <w:r w:rsidR="002D0857" w:rsidRPr="00D15B2C">
        <w:t>ONELGAZ</w:t>
      </w:r>
      <w:r w:rsidRPr="00D15B2C">
        <w:t xml:space="preserve"> pour lequel des crédits d’une valeur de 343 milliards de </w:t>
      </w:r>
      <w:r>
        <w:t>Dinars</w:t>
      </w:r>
      <w:r w:rsidRPr="00D15B2C">
        <w:t xml:space="preserve"> ont été accordés en 2012.</w:t>
      </w:r>
    </w:p>
    <w:p w:rsidR="001D5E53" w:rsidRPr="00D15B2C" w:rsidRDefault="001D5E53" w:rsidP="000D6C4E">
      <w:r w:rsidRPr="00D15B2C">
        <w:t xml:space="preserve">Or, les experts financiers mettent en garde ce système de spécialisation et considèrent que cela comporte des risques importants et menace la </w:t>
      </w:r>
      <w:r w:rsidR="000D6C4E">
        <w:t>stabilité</w:t>
      </w:r>
      <w:r w:rsidRPr="00D15B2C">
        <w:t xml:space="preserve"> financière des banques. Ces derniers estiment aussi que la concentration des crédits au profit d’un seul secteur représente un facteur de fragilité même si la réglementation, très prudentielle, ne permet pas aux banques d’engager plus de 25 % de leurs disponibilités envers un seul emprunteur. </w:t>
      </w:r>
    </w:p>
    <w:p w:rsidR="002964F9" w:rsidRDefault="001D5E53" w:rsidP="0003476B">
      <w:r w:rsidRPr="00D15B2C">
        <w:t>Le taux d’octrois de crédits bancaires était en croissance ces dernières années</w:t>
      </w:r>
      <w:r w:rsidR="00D13D50">
        <w:t xml:space="preserve"> (voir </w:t>
      </w:r>
      <w:r w:rsidR="00FF7434" w:rsidRPr="00584300">
        <w:t>annexe N°</w:t>
      </w:r>
      <w:r w:rsidR="00FF7434">
        <w:t>II</w:t>
      </w:r>
      <w:r w:rsidR="00D13D50">
        <w:t>)</w:t>
      </w:r>
      <w:r w:rsidRPr="00D15B2C">
        <w:t>, mais malgré cela, les ressources collectées restent largement supérieures, au-delà des prescriptions du Conseil de la Monnaie et du Crédit, d’où l’apparition de surliquidités dans les banques algériennes.</w:t>
      </w:r>
    </w:p>
    <w:p w:rsidR="002964F9" w:rsidRDefault="002964F9" w:rsidP="001D5E53"/>
    <w:p w:rsidR="002964F9" w:rsidRDefault="002964F9" w:rsidP="001D5E53"/>
    <w:p w:rsidR="002964F9" w:rsidRDefault="002964F9" w:rsidP="001D5E53"/>
    <w:p w:rsidR="002964F9" w:rsidRDefault="002964F9" w:rsidP="001D5E53"/>
    <w:p w:rsidR="00C161AE" w:rsidRDefault="00C161AE" w:rsidP="001D5E53"/>
    <w:p w:rsidR="00C161AE" w:rsidRDefault="00C161AE" w:rsidP="001D5E53"/>
    <w:p w:rsidR="00C161AE" w:rsidRDefault="00C161AE" w:rsidP="001D5E53"/>
    <w:p w:rsidR="00C161AE" w:rsidRDefault="00C161AE" w:rsidP="001D5E53"/>
    <w:p w:rsidR="00C161AE" w:rsidRDefault="00C161AE" w:rsidP="001D5E53"/>
    <w:p w:rsidR="00C161AE" w:rsidRDefault="00C161AE" w:rsidP="001D5E53"/>
    <w:p w:rsidR="001D5E53" w:rsidRPr="00D15B2C" w:rsidRDefault="001D5E53" w:rsidP="001D5E53">
      <w:r w:rsidRPr="00D15B2C">
        <w:lastRenderedPageBreak/>
        <w:t xml:space="preserve">Le tableau ci-après représente les crédits accordés par les banques : </w:t>
      </w:r>
    </w:p>
    <w:p w:rsidR="001D5E53" w:rsidRPr="00FD467B" w:rsidRDefault="001D5E53" w:rsidP="00664FFF">
      <w:pPr>
        <w:ind w:firstLine="0"/>
        <w:rPr>
          <w:rFonts w:cs="Times New Roman"/>
        </w:rPr>
      </w:pPr>
      <w:r>
        <w:rPr>
          <w:rFonts w:cs="Times New Roman"/>
          <w:b/>
          <w:bCs/>
          <w:szCs w:val="24"/>
        </w:rPr>
        <w:t>Tableau n° 8 : les crédits distribués.</w:t>
      </w:r>
    </w:p>
    <w:p w:rsidR="001D5E53" w:rsidRDefault="001D5E53" w:rsidP="00381574">
      <w:pPr>
        <w:spacing w:before="0" w:after="0" w:line="240" w:lineRule="auto"/>
        <w:ind w:firstLine="0"/>
        <w:rPr>
          <w:rFonts w:cs="Times New Roman"/>
          <w:szCs w:val="24"/>
        </w:rPr>
      </w:pPr>
      <w:r>
        <w:rPr>
          <w:noProof/>
        </w:rPr>
        <w:drawing>
          <wp:inline distT="0" distB="0" distL="0" distR="0" wp14:anchorId="2E8A8205" wp14:editId="12AAB516">
            <wp:extent cx="5741670" cy="4220845"/>
            <wp:effectExtent l="19050" t="19050" r="11430" b="27305"/>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41670" cy="4220845"/>
                    </a:xfrm>
                    <a:prstGeom prst="rect">
                      <a:avLst/>
                    </a:prstGeom>
                    <a:noFill/>
                    <a:ln>
                      <a:solidFill>
                        <a:schemeClr val="tx1">
                          <a:alpha val="95000"/>
                        </a:schemeClr>
                      </a:solidFill>
                    </a:ln>
                  </pic:spPr>
                </pic:pic>
              </a:graphicData>
            </a:graphic>
          </wp:inline>
        </w:drawing>
      </w:r>
    </w:p>
    <w:p w:rsidR="00381574" w:rsidRPr="00B61D37" w:rsidRDefault="005F618B" w:rsidP="005F618B">
      <w:pPr>
        <w:spacing w:before="0" w:after="0" w:line="240" w:lineRule="auto"/>
        <w:ind w:firstLine="0"/>
        <w:jc w:val="right"/>
        <w:rPr>
          <w:rFonts w:cs="Times New Roman"/>
          <w:sz w:val="20"/>
          <w:szCs w:val="20"/>
        </w:rPr>
      </w:pPr>
      <w:r>
        <w:rPr>
          <w:rFonts w:cs="Times New Roman"/>
          <w:sz w:val="20"/>
          <w:szCs w:val="20"/>
        </w:rPr>
        <w:t>Source : R</w:t>
      </w:r>
      <w:r w:rsidR="00381574" w:rsidRPr="00B61D37">
        <w:rPr>
          <w:rFonts w:cs="Times New Roman"/>
          <w:sz w:val="20"/>
          <w:szCs w:val="20"/>
        </w:rPr>
        <w:t>apport de la Banque d’Algérie</w:t>
      </w:r>
      <w:r w:rsidR="00B61D37" w:rsidRPr="00B61D37">
        <w:rPr>
          <w:rFonts w:cs="Times New Roman"/>
          <w:sz w:val="20"/>
          <w:szCs w:val="20"/>
        </w:rPr>
        <w:t xml:space="preserve">, </w:t>
      </w:r>
      <w:r>
        <w:rPr>
          <w:rFonts w:cs="Times New Roman"/>
          <w:sz w:val="20"/>
          <w:szCs w:val="20"/>
        </w:rPr>
        <w:t xml:space="preserve">Stabilité du système bancaire, </w:t>
      </w:r>
      <w:r w:rsidR="00B61D37" w:rsidRPr="00B61D37">
        <w:rPr>
          <w:rFonts w:cs="Times New Roman"/>
          <w:sz w:val="20"/>
          <w:szCs w:val="20"/>
        </w:rPr>
        <w:t>P 76</w:t>
      </w:r>
    </w:p>
    <w:p w:rsidR="00381574" w:rsidRDefault="00381574" w:rsidP="001D5E53"/>
    <w:p w:rsidR="001D5E53" w:rsidRPr="00D15B2C" w:rsidRDefault="00E14508" w:rsidP="00E44A61">
      <w:r>
        <w:t>L</w:t>
      </w:r>
      <w:r w:rsidR="00E44A61">
        <w:t xml:space="preserve">es tableaux n°8 </w:t>
      </w:r>
      <w:r w:rsidR="001D5E53" w:rsidRPr="00D15B2C">
        <w:t xml:space="preserve"> nous</w:t>
      </w:r>
      <w:r>
        <w:t xml:space="preserve"> renseigne sur une </w:t>
      </w:r>
      <w:r w:rsidRPr="00D15B2C">
        <w:t>liquidité grandissante dans le secteur bancaire</w:t>
      </w:r>
      <w:r w:rsidR="001D5E53" w:rsidRPr="00D15B2C">
        <w:t xml:space="preserve"> pendant la période 2010-2013 alimenté par l’encours total des dépôts collectés qui demeure largement supérieur </w:t>
      </w:r>
      <w:r w:rsidR="001D5E53">
        <w:t>à</w:t>
      </w:r>
      <w:r w:rsidR="001D5E53" w:rsidRPr="00D15B2C">
        <w:t xml:space="preserve"> l’encours total des crédits accordés. </w:t>
      </w:r>
    </w:p>
    <w:p w:rsidR="001D5E53" w:rsidRPr="00D15B2C" w:rsidRDefault="001D5E53" w:rsidP="00E14508">
      <w:r w:rsidRPr="00D15B2C">
        <w:t xml:space="preserve">Le secteur bancaire a connu à partir du début </w:t>
      </w:r>
      <w:r>
        <w:t xml:space="preserve">de l’année </w:t>
      </w:r>
      <w:r w:rsidRPr="00D15B2C">
        <w:t xml:space="preserve">2002 une situation </w:t>
      </w:r>
      <w:r w:rsidR="00E14508">
        <w:t>de surliquidité</w:t>
      </w:r>
      <w:r w:rsidRPr="00D15B2C">
        <w:t>. Au cours de l’année 2009, suite à la forte baisse des dépôts du secteur des hydrocarbures, l’excès de liquidité des banques avait amorcé une tendance baissière, mais sans pour autant qu’elle soit complètement absorbée. En revanche la liquidité était de nouveau en hausse relative en 2010 et 2011.</w:t>
      </w:r>
    </w:p>
    <w:p w:rsidR="002964F9" w:rsidRDefault="002964F9" w:rsidP="003D2044"/>
    <w:p w:rsidR="002964F9" w:rsidRDefault="002964F9" w:rsidP="003D2044"/>
    <w:p w:rsidR="001D5E53" w:rsidRPr="00D15B2C" w:rsidRDefault="001D5E53" w:rsidP="003D2044">
      <w:r w:rsidRPr="00D15B2C">
        <w:lastRenderedPageBreak/>
        <w:t xml:space="preserve">Le graphe ci-après </w:t>
      </w:r>
      <w:r>
        <w:t xml:space="preserve">(graphe n° </w:t>
      </w:r>
      <w:r w:rsidR="003D2044">
        <w:t>3</w:t>
      </w:r>
      <w:r>
        <w:t xml:space="preserve">) </w:t>
      </w:r>
      <w:r w:rsidRPr="00D15B2C">
        <w:t xml:space="preserve">va illustrer l’évolution des dépôts collectés et les crédits accordés par </w:t>
      </w:r>
      <w:r w:rsidR="005B1556">
        <w:t xml:space="preserve">les banques entre 2009 et 2013, en Mds DA : </w:t>
      </w:r>
    </w:p>
    <w:p w:rsidR="001D5E53" w:rsidRPr="009C2101" w:rsidRDefault="001D5E53" w:rsidP="00950AFE">
      <w:pPr>
        <w:ind w:firstLine="0"/>
        <w:rPr>
          <w:rFonts w:cs="Times New Roman"/>
          <w:szCs w:val="24"/>
        </w:rPr>
      </w:pPr>
      <w:r>
        <w:rPr>
          <w:rFonts w:cs="Times New Roman"/>
          <w:b/>
          <w:bCs/>
          <w:szCs w:val="24"/>
        </w:rPr>
        <w:t>Graphe n°3 : L</w:t>
      </w:r>
      <w:r w:rsidRPr="00D15B2C">
        <w:rPr>
          <w:rFonts w:cs="Times New Roman"/>
          <w:b/>
          <w:bCs/>
          <w:szCs w:val="24"/>
        </w:rPr>
        <w:t>es ressources collectées et les crédits accordés</w:t>
      </w:r>
      <w:r>
        <w:rPr>
          <w:rFonts w:cs="Times New Roman"/>
          <w:b/>
          <w:bCs/>
          <w:szCs w:val="24"/>
        </w:rPr>
        <w:t xml:space="preserve">. </w:t>
      </w:r>
    </w:p>
    <w:p w:rsidR="001D5E53" w:rsidRDefault="001D5E53" w:rsidP="00381574">
      <w:pPr>
        <w:spacing w:before="0" w:after="0"/>
        <w:ind w:firstLine="0"/>
        <w:jc w:val="center"/>
        <w:rPr>
          <w:rFonts w:cs="Times New Roman"/>
          <w:szCs w:val="24"/>
        </w:rPr>
      </w:pPr>
      <w:r>
        <w:rPr>
          <w:noProof/>
        </w:rPr>
        <w:drawing>
          <wp:inline distT="0" distB="0" distL="0" distR="0" wp14:anchorId="39F1DA78" wp14:editId="0E570065">
            <wp:extent cx="5507355" cy="3211195"/>
            <wp:effectExtent l="0" t="0" r="0" b="0"/>
            <wp:docPr id="9" name="Graphique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81574" w:rsidRDefault="00381574" w:rsidP="00615C53">
      <w:pPr>
        <w:spacing w:before="0" w:after="0"/>
        <w:ind w:firstLine="0"/>
        <w:jc w:val="right"/>
        <w:rPr>
          <w:rFonts w:cs="Times New Roman"/>
          <w:sz w:val="20"/>
          <w:szCs w:val="20"/>
        </w:rPr>
      </w:pPr>
      <w:r w:rsidRPr="00381574">
        <w:rPr>
          <w:rFonts w:cs="Times New Roman"/>
          <w:sz w:val="20"/>
          <w:szCs w:val="20"/>
        </w:rPr>
        <w:t xml:space="preserve">Source : </w:t>
      </w:r>
      <w:r w:rsidR="0003476B">
        <w:rPr>
          <w:rFonts w:cs="Times New Roman"/>
          <w:sz w:val="20"/>
          <w:szCs w:val="20"/>
        </w:rPr>
        <w:t>R</w:t>
      </w:r>
      <w:r w:rsidR="00B61D37">
        <w:rPr>
          <w:rFonts w:cs="Times New Roman"/>
          <w:sz w:val="20"/>
          <w:szCs w:val="20"/>
        </w:rPr>
        <w:t>apport</w:t>
      </w:r>
      <w:r w:rsidRPr="00381574">
        <w:rPr>
          <w:rFonts w:cs="Times New Roman"/>
          <w:sz w:val="20"/>
          <w:szCs w:val="20"/>
        </w:rPr>
        <w:t xml:space="preserve"> de la Banque d’Algérie</w:t>
      </w:r>
      <w:r w:rsidR="00615C53">
        <w:rPr>
          <w:rFonts w:cs="Times New Roman"/>
          <w:sz w:val="20"/>
          <w:szCs w:val="20"/>
        </w:rPr>
        <w:t>,</w:t>
      </w:r>
      <w:r w:rsidR="00615C53">
        <w:rPr>
          <w:rFonts w:cs="Times New Roman"/>
          <w:sz w:val="20"/>
          <w:szCs w:val="18"/>
        </w:rPr>
        <w:t xml:space="preserve"> S</w:t>
      </w:r>
      <w:r w:rsidR="0003476B" w:rsidRPr="0003476B">
        <w:rPr>
          <w:rFonts w:cs="Times New Roman"/>
          <w:sz w:val="20"/>
          <w:szCs w:val="18"/>
        </w:rPr>
        <w:t>tabilité du système bancaire</w:t>
      </w:r>
      <w:r w:rsidR="00B61D37">
        <w:rPr>
          <w:rFonts w:cs="Times New Roman"/>
          <w:sz w:val="20"/>
          <w:szCs w:val="20"/>
        </w:rPr>
        <w:t>, 2013, P 81.</w:t>
      </w:r>
    </w:p>
    <w:p w:rsidR="005B1556" w:rsidRDefault="005B1556" w:rsidP="00E14508">
      <w:pPr>
        <w:spacing w:before="0" w:after="0"/>
        <w:ind w:firstLine="0"/>
        <w:jc w:val="left"/>
        <w:rPr>
          <w:rFonts w:cs="Times New Roman"/>
          <w:szCs w:val="24"/>
        </w:rPr>
      </w:pPr>
    </w:p>
    <w:p w:rsidR="001D5E53" w:rsidRPr="00D15B2C" w:rsidRDefault="001D5E53" w:rsidP="00D95740">
      <w:pPr>
        <w:pStyle w:val="Titre1"/>
        <w:keepNext/>
        <w:keepLines/>
        <w:numPr>
          <w:ilvl w:val="0"/>
          <w:numId w:val="35"/>
        </w:numPr>
      </w:pPr>
      <w:bookmarkStart w:id="66" w:name="_Toc431416586"/>
      <w:bookmarkStart w:id="67" w:name="_Toc431980016"/>
      <w:r w:rsidRPr="00D15B2C">
        <w:t>Les indicateurs de solidité du secteur bancaire</w:t>
      </w:r>
      <w:bookmarkEnd w:id="66"/>
      <w:bookmarkEnd w:id="67"/>
    </w:p>
    <w:p w:rsidR="001D5E53" w:rsidRDefault="006517B5" w:rsidP="001D5E53">
      <w:pPr>
        <w:pStyle w:val="Titre2"/>
      </w:pPr>
      <w:bookmarkStart w:id="68" w:name="_Toc431416587"/>
      <w:bookmarkStart w:id="69" w:name="_Toc431980017"/>
      <w:r>
        <w:t>4</w:t>
      </w:r>
      <w:r w:rsidR="00E44A61">
        <w:t xml:space="preserve">.1 </w:t>
      </w:r>
      <w:r w:rsidR="001D5E53" w:rsidRPr="00D15B2C">
        <w:t xml:space="preserve"> Le ratio de solvabilité</w:t>
      </w:r>
      <w:bookmarkEnd w:id="68"/>
      <w:bookmarkEnd w:id="69"/>
    </w:p>
    <w:p w:rsidR="001D5E53" w:rsidRDefault="001D5E53" w:rsidP="00E44A61">
      <w:r>
        <w:t xml:space="preserve">La banque doit être solvable à tout moment et capables d’honorer ses engagements afin de satisfaire ses clients. C’est dans cette optique que </w:t>
      </w:r>
      <w:r w:rsidR="00E44A61">
        <w:t>le comité de Bâle</w:t>
      </w:r>
      <w:r>
        <w:t xml:space="preserve"> a établi le ratio de solvabilité que toutes les banques doivent respecter.  </w:t>
      </w:r>
    </w:p>
    <w:p w:rsidR="001D5E53" w:rsidRDefault="001D5E53" w:rsidP="001D5E53">
      <w:r>
        <w:t>Le premier ratio appelé « ratio Cook » a été créé en 1988)</w:t>
      </w:r>
      <w:r w:rsidRPr="00D15B2C">
        <w:t>. Il se mesurait en comparant le niveau des engagements d’une banque (crédits et autres placements) au montant de ses propres (capital apporté par les actionnaires et profits de la banque). Il était égal à 8 %. Cela signifiait que pour prêter un total de 100 millions d’euros une banque devait avoir au minimum 8 millions d’euros de fonds propres pour être considérée comme solvable.</w:t>
      </w:r>
    </w:p>
    <w:p w:rsidR="001D5E53" w:rsidRDefault="001D5E53" w:rsidP="001D5E53">
      <w:r>
        <w:t xml:space="preserve">En 2006, Bâle II a créé un deuxième ratio fondé </w:t>
      </w:r>
      <w:r w:rsidRPr="00D15B2C">
        <w:t>sur le même principe du rapport entre les fonds propres et le montant des crédits distribués pondérés par les risques associés</w:t>
      </w:r>
      <w:r>
        <w:t xml:space="preserve">. La </w:t>
      </w:r>
      <w:r>
        <w:lastRenderedPageBreak/>
        <w:t>nouveauté apportée est cependant la nature des risques pris en compte qui a été enrichi et les méthodes de calculs ont été améliorées.</w:t>
      </w:r>
    </w:p>
    <w:p w:rsidR="001D5E53" w:rsidRPr="00D15B2C" w:rsidRDefault="001D5E53" w:rsidP="001D5E53">
      <w:r w:rsidRPr="00D15B2C">
        <w:t xml:space="preserve">Le ratio global était notamment décomposé en deux parties : un ratio dit « </w:t>
      </w:r>
      <w:proofErr w:type="spellStart"/>
      <w:r w:rsidRPr="00D15B2C">
        <w:t>Tier</w:t>
      </w:r>
      <w:proofErr w:type="spellEnd"/>
      <w:r w:rsidRPr="00D15B2C">
        <w:t xml:space="preserve"> 1 » de 4 % où le capital était supposé être du « vrai » capital (c’est-à-dire sans risque) ; et un autre ratio de 4 % « </w:t>
      </w:r>
      <w:proofErr w:type="spellStart"/>
      <w:r w:rsidRPr="00D15B2C">
        <w:t>Tier</w:t>
      </w:r>
      <w:proofErr w:type="spellEnd"/>
      <w:r w:rsidRPr="00D15B2C">
        <w:t xml:space="preserve"> 2 » pour lequel les contraintes étaient moins fortes. Le </w:t>
      </w:r>
      <w:proofErr w:type="spellStart"/>
      <w:r w:rsidRPr="00D15B2C">
        <w:t>Tier</w:t>
      </w:r>
      <w:proofErr w:type="spellEnd"/>
      <w:r w:rsidRPr="00D15B2C">
        <w:t xml:space="preserve"> 1 lui-même a été décomposé lui aussi en deux : le </w:t>
      </w:r>
      <w:proofErr w:type="spellStart"/>
      <w:r w:rsidRPr="00D15B2C">
        <w:t>Core</w:t>
      </w:r>
      <w:proofErr w:type="spellEnd"/>
      <w:r w:rsidR="00032F3C">
        <w:t xml:space="preserve"> </w:t>
      </w:r>
      <w:proofErr w:type="spellStart"/>
      <w:r w:rsidRPr="00D15B2C">
        <w:t>Tier</w:t>
      </w:r>
      <w:proofErr w:type="spellEnd"/>
      <w:r w:rsidRPr="00D15B2C">
        <w:t xml:space="preserve"> 1 de 2 % pour lequel étaient pris en compte seulement les actions et les profits de la banque réinvestis et l’autre partie du </w:t>
      </w:r>
      <w:proofErr w:type="spellStart"/>
      <w:r w:rsidRPr="00D15B2C">
        <w:t>Tier</w:t>
      </w:r>
      <w:proofErr w:type="spellEnd"/>
      <w:r w:rsidRPr="00D15B2C">
        <w:t xml:space="preserve"> 1 où des titres hybrides.</w:t>
      </w:r>
    </w:p>
    <w:p w:rsidR="001D5E53" w:rsidRDefault="001D5E53" w:rsidP="001D5E53">
      <w:r>
        <w:t xml:space="preserve">En Septembre 2010, la BRI a mis en place Bâle III qui concerne les fonds propres des banques et dont le minimum de fonds propres des banques ont été relevé. </w:t>
      </w:r>
    </w:p>
    <w:p w:rsidR="001D5E53" w:rsidRPr="00D15B2C" w:rsidRDefault="001D5E53" w:rsidP="006023F3">
      <w:r w:rsidRPr="00D15B2C">
        <w:t xml:space="preserve">Les banques devront respecter un </w:t>
      </w:r>
      <w:proofErr w:type="spellStart"/>
      <w:r w:rsidRPr="00D15B2C">
        <w:t>Tier</w:t>
      </w:r>
      <w:proofErr w:type="spellEnd"/>
      <w:r w:rsidRPr="00D15B2C">
        <w:t xml:space="preserve"> 1 de 7 % (au lieu de 4 </w:t>
      </w:r>
      <w:r w:rsidR="006023F3">
        <w:t>%)</w:t>
      </w:r>
      <w:r w:rsidR="00E44A61">
        <w:t xml:space="preserve"> </w:t>
      </w:r>
      <w:r w:rsidRPr="00D15B2C">
        <w:t xml:space="preserve">et un </w:t>
      </w:r>
      <w:proofErr w:type="spellStart"/>
      <w:r w:rsidRPr="00D15B2C">
        <w:t>Core</w:t>
      </w:r>
      <w:proofErr w:type="spellEnd"/>
      <w:r w:rsidR="00032F3C">
        <w:t xml:space="preserve"> </w:t>
      </w:r>
      <w:proofErr w:type="spellStart"/>
      <w:r w:rsidRPr="00D15B2C">
        <w:t>Tier</w:t>
      </w:r>
      <w:proofErr w:type="spellEnd"/>
      <w:r w:rsidRPr="00D15B2C">
        <w:t xml:space="preserve"> 1 de 4 % au lieu de 2 %. Elles se doteront aussi d’un matelas de sécurité supplémentaire de 2,5 %, qu’elles devront alimenter avec leur profit en période de prospérité économique (au lieu de distribuer celui-ci en dividende ou en rachat d’action) et dans lequel elles puiseront en cas de difficultés</w:t>
      </w:r>
      <w:r w:rsidRPr="00D15B2C">
        <w:rPr>
          <w:vertAlign w:val="superscript"/>
        </w:rPr>
        <w:footnoteReference w:id="33"/>
      </w:r>
      <w:r w:rsidRPr="00D15B2C">
        <w:t>.</w:t>
      </w:r>
    </w:p>
    <w:p w:rsidR="001D5E53" w:rsidRPr="00D15B2C" w:rsidRDefault="001D5E53" w:rsidP="005B1556">
      <w:r w:rsidRPr="00D15B2C">
        <w:t>D’après les déclarations du Gouverneur de la Banque d’Algérie, les banques opérantes sur notre territoire, nationales ou étrangères</w:t>
      </w:r>
      <w:r>
        <w:t xml:space="preserve">, </w:t>
      </w:r>
      <w:r w:rsidRPr="00D15B2C">
        <w:t>respectent largement les règles prudentielles dont notamment le ratio de solvabilité bancaire qui a atteint 24% à fin 2011</w:t>
      </w:r>
      <w:r w:rsidR="00FF7434" w:rsidRPr="00584300">
        <w:t>(voir annexe N°III)</w:t>
      </w:r>
      <w:r w:rsidRPr="00584300">
        <w:t>,</w:t>
      </w:r>
      <w:r w:rsidRPr="00D15B2C">
        <w:t xml:space="preserve"> soit un taux largement supérieurs aux n</w:t>
      </w:r>
      <w:r w:rsidR="005B1556">
        <w:t xml:space="preserve">ormes recommandées par Bale III. </w:t>
      </w:r>
    </w:p>
    <w:p w:rsidR="001D5E53" w:rsidRDefault="001D5E53" w:rsidP="001D5E53">
      <w:r w:rsidRPr="00D15B2C">
        <w:t>En effet, l’amélioration de la situation financière des banques algériennes, aussi bien publiques que privées, et le renforcement de leurs Fonds Propres ont permis à ces institutions</w:t>
      </w:r>
      <w:r w:rsidR="00CF7AA7">
        <w:t xml:space="preserve"> </w:t>
      </w:r>
      <w:r w:rsidRPr="00D15B2C">
        <w:rPr>
          <w:rFonts w:cs="Times New Roman"/>
          <w:szCs w:val="24"/>
        </w:rPr>
        <w:t>d’avoir des niveaux de Fonds Propres très au-delà du minimum réglementaire exigé par le règlement n°08-04 du 23 Décembre 2008 de la Banque d’Algérie</w:t>
      </w:r>
      <w:r>
        <w:rPr>
          <w:rFonts w:cs="Times New Roman"/>
          <w:szCs w:val="24"/>
        </w:rPr>
        <w:t>,</w:t>
      </w:r>
      <w:r w:rsidRPr="00D15B2C">
        <w:rPr>
          <w:rFonts w:cs="Times New Roman"/>
          <w:szCs w:val="24"/>
        </w:rPr>
        <w:t xml:space="preserve"> relatif au capital minimum</w:t>
      </w:r>
      <w:r w:rsidR="00CF7AA7">
        <w:rPr>
          <w:rFonts w:cs="Times New Roman"/>
          <w:szCs w:val="24"/>
        </w:rPr>
        <w:t xml:space="preserve"> </w:t>
      </w:r>
      <w:r w:rsidRPr="00D15B2C">
        <w:rPr>
          <w:rFonts w:cs="Times New Roman"/>
          <w:szCs w:val="24"/>
        </w:rPr>
        <w:t>des Banques et Etablissements Financiers exerçant en Algérie, qui ne doit pas être inférieur à10 000 000 000 DA pour le</w:t>
      </w:r>
      <w:r>
        <w:rPr>
          <w:rFonts w:cs="Times New Roman"/>
          <w:szCs w:val="24"/>
        </w:rPr>
        <w:t>s</w:t>
      </w:r>
      <w:r w:rsidRPr="00D15B2C">
        <w:rPr>
          <w:rFonts w:cs="Times New Roman"/>
          <w:szCs w:val="24"/>
        </w:rPr>
        <w:t xml:space="preserve"> Banques et à 3 500 000 000 DA pour les Etablissements Financiers</w:t>
      </w:r>
      <w:r w:rsidRPr="00D15B2C">
        <w:rPr>
          <w:rFonts w:cs="Times New Roman"/>
          <w:szCs w:val="24"/>
          <w:vertAlign w:val="superscript"/>
        </w:rPr>
        <w:footnoteReference w:id="34"/>
      </w:r>
      <w:r w:rsidRPr="00D15B2C">
        <w:rPr>
          <w:rFonts w:cs="Times New Roman"/>
          <w:szCs w:val="24"/>
        </w:rPr>
        <w:t>.</w:t>
      </w:r>
    </w:p>
    <w:p w:rsidR="001D5E53" w:rsidRDefault="001D5E53" w:rsidP="005B1556">
      <w:r w:rsidRPr="00D15B2C">
        <w:rPr>
          <w:rFonts w:cs="Times New Roman"/>
          <w:szCs w:val="24"/>
        </w:rPr>
        <w:lastRenderedPageBreak/>
        <w:t>Selon le rapport de la Banque d’Algérie sur la situa</w:t>
      </w:r>
      <w:r w:rsidR="005B1556">
        <w:rPr>
          <w:rFonts w:cs="Times New Roman"/>
          <w:szCs w:val="24"/>
        </w:rPr>
        <w:t xml:space="preserve">tion économique et monétaire </w:t>
      </w:r>
      <w:r w:rsidRPr="00D15B2C">
        <w:rPr>
          <w:rFonts w:cs="Times New Roman"/>
          <w:szCs w:val="24"/>
        </w:rPr>
        <w:t>pour l’année 2010</w:t>
      </w:r>
      <w:r w:rsidRPr="00D15B2C">
        <w:rPr>
          <w:rFonts w:cs="Times New Roman"/>
          <w:szCs w:val="24"/>
          <w:vertAlign w:val="superscript"/>
        </w:rPr>
        <w:footnoteReference w:id="35"/>
      </w:r>
      <w:r w:rsidRPr="00D15B2C">
        <w:rPr>
          <w:rFonts w:cs="Times New Roman"/>
          <w:szCs w:val="24"/>
        </w:rPr>
        <w:t>, le ratio de solvabilité (adéquation des Fonds Propres aux risques encourus) des banques, tant publiques que privées, est nettement supérieur à 8%, il est passé de 22,11% en 2009 à 23,31% 2010.</w:t>
      </w:r>
    </w:p>
    <w:p w:rsidR="001D5E53" w:rsidRPr="00FD467B" w:rsidRDefault="001D5E53" w:rsidP="001D5E53">
      <w:r w:rsidRPr="00D15B2C">
        <w:rPr>
          <w:rFonts w:cs="Times New Roman"/>
          <w:szCs w:val="24"/>
        </w:rPr>
        <w:t>Le tableau ci-après présente les ratios des fonds propres de base des banques publiques et privées de 2009 à 2012 en % :</w:t>
      </w:r>
    </w:p>
    <w:p w:rsidR="001D5E53" w:rsidRPr="00D15B2C" w:rsidRDefault="001D5E53" w:rsidP="001D5E53">
      <w:pPr>
        <w:rPr>
          <w:rFonts w:cs="Times New Roman"/>
          <w:b/>
          <w:bCs/>
          <w:szCs w:val="24"/>
        </w:rPr>
      </w:pPr>
      <w:r>
        <w:rPr>
          <w:rFonts w:cs="Times New Roman"/>
          <w:b/>
          <w:bCs/>
          <w:szCs w:val="24"/>
        </w:rPr>
        <w:t>Tableau n°9</w:t>
      </w:r>
      <w:r w:rsidRPr="00D15B2C">
        <w:rPr>
          <w:rFonts w:cs="Times New Roman"/>
          <w:b/>
          <w:bCs/>
          <w:szCs w:val="24"/>
        </w:rPr>
        <w:t> : Evolution du ratio de solvabilité des banques en Algérie</w:t>
      </w:r>
      <w:r>
        <w:rPr>
          <w:rFonts w:cs="Times New Roman"/>
          <w:b/>
          <w:bCs/>
          <w:szCs w:val="24"/>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201"/>
        <w:gridCol w:w="1132"/>
        <w:gridCol w:w="1272"/>
        <w:gridCol w:w="1272"/>
        <w:gridCol w:w="1303"/>
      </w:tblGrid>
      <w:tr w:rsidR="001D5E53" w:rsidRPr="007D646F" w:rsidTr="00381574">
        <w:trPr>
          <w:trHeight w:val="392"/>
        </w:trPr>
        <w:tc>
          <w:tcPr>
            <w:tcW w:w="4201" w:type="dxa"/>
            <w:shd w:val="clear" w:color="auto" w:fill="BFBFBF"/>
            <w:vAlign w:val="center"/>
          </w:tcPr>
          <w:p w:rsidR="001D5E53" w:rsidRPr="007D646F" w:rsidRDefault="001D5E53" w:rsidP="00060EA3">
            <w:pPr>
              <w:autoSpaceDE w:val="0"/>
              <w:autoSpaceDN w:val="0"/>
              <w:adjustRightInd w:val="0"/>
              <w:spacing w:before="0" w:after="0" w:line="240" w:lineRule="auto"/>
              <w:rPr>
                <w:rFonts w:cs="Times New Roman"/>
                <w:szCs w:val="24"/>
              </w:rPr>
            </w:pPr>
            <w:r w:rsidRPr="007D646F">
              <w:rPr>
                <w:rFonts w:cs="Times New Roman"/>
                <w:szCs w:val="24"/>
              </w:rPr>
              <w:t>Ratios de fonds propres de base (</w:t>
            </w:r>
            <w:proofErr w:type="spellStart"/>
            <w:r w:rsidRPr="007D646F">
              <w:rPr>
                <w:rFonts w:cs="Times New Roman"/>
                <w:szCs w:val="24"/>
              </w:rPr>
              <w:t>Tier</w:t>
            </w:r>
            <w:proofErr w:type="spellEnd"/>
            <w:r w:rsidRPr="007D646F">
              <w:rPr>
                <w:rFonts w:cs="Times New Roman"/>
                <w:szCs w:val="24"/>
              </w:rPr>
              <w:t xml:space="preserve"> 1)</w:t>
            </w:r>
          </w:p>
        </w:tc>
        <w:tc>
          <w:tcPr>
            <w:tcW w:w="1132" w:type="dxa"/>
            <w:shd w:val="clear" w:color="auto" w:fill="BFBFBF"/>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2009</w:t>
            </w:r>
          </w:p>
        </w:tc>
        <w:tc>
          <w:tcPr>
            <w:tcW w:w="1272" w:type="dxa"/>
            <w:shd w:val="clear" w:color="auto" w:fill="BFBFBF"/>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2010</w:t>
            </w:r>
          </w:p>
        </w:tc>
        <w:tc>
          <w:tcPr>
            <w:tcW w:w="1272" w:type="dxa"/>
            <w:shd w:val="clear" w:color="auto" w:fill="BFBFBF"/>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2011</w:t>
            </w:r>
          </w:p>
        </w:tc>
        <w:tc>
          <w:tcPr>
            <w:tcW w:w="1303" w:type="dxa"/>
            <w:shd w:val="clear" w:color="auto" w:fill="BFBFBF"/>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2012</w:t>
            </w:r>
          </w:p>
        </w:tc>
      </w:tr>
      <w:tr w:rsidR="001D5E53" w:rsidRPr="007D646F" w:rsidTr="00381574">
        <w:trPr>
          <w:trHeight w:val="551"/>
        </w:trPr>
        <w:tc>
          <w:tcPr>
            <w:tcW w:w="4201" w:type="dxa"/>
            <w:vAlign w:val="center"/>
          </w:tcPr>
          <w:p w:rsidR="001D5E53" w:rsidRPr="007D646F" w:rsidRDefault="001D5E53" w:rsidP="00060EA3">
            <w:pPr>
              <w:autoSpaceDE w:val="0"/>
              <w:autoSpaceDN w:val="0"/>
              <w:adjustRightInd w:val="0"/>
              <w:spacing w:before="0" w:after="0" w:line="240" w:lineRule="auto"/>
              <w:rPr>
                <w:rFonts w:cs="Times New Roman"/>
                <w:szCs w:val="24"/>
              </w:rPr>
            </w:pPr>
            <w:r w:rsidRPr="007D646F">
              <w:rPr>
                <w:rFonts w:cs="Times New Roman"/>
                <w:szCs w:val="24"/>
              </w:rPr>
              <w:t>Banques publiques</w:t>
            </w:r>
          </w:p>
        </w:tc>
        <w:tc>
          <w:tcPr>
            <w:tcW w:w="1132" w:type="dxa"/>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15,6</w:t>
            </w:r>
          </w:p>
        </w:tc>
        <w:tc>
          <w:tcPr>
            <w:tcW w:w="1272" w:type="dxa"/>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14,8</w:t>
            </w:r>
          </w:p>
        </w:tc>
        <w:tc>
          <w:tcPr>
            <w:tcW w:w="1272" w:type="dxa"/>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14,1</w:t>
            </w:r>
          </w:p>
        </w:tc>
        <w:tc>
          <w:tcPr>
            <w:tcW w:w="1303" w:type="dxa"/>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14,7</w:t>
            </w:r>
          </w:p>
        </w:tc>
      </w:tr>
      <w:tr w:rsidR="001D5E53" w:rsidRPr="007D646F" w:rsidTr="00381574">
        <w:trPr>
          <w:trHeight w:val="551"/>
        </w:trPr>
        <w:tc>
          <w:tcPr>
            <w:tcW w:w="4201" w:type="dxa"/>
            <w:vAlign w:val="center"/>
          </w:tcPr>
          <w:p w:rsidR="001D5E53" w:rsidRPr="007D646F" w:rsidRDefault="001D5E53" w:rsidP="00060EA3">
            <w:pPr>
              <w:autoSpaceDE w:val="0"/>
              <w:autoSpaceDN w:val="0"/>
              <w:adjustRightInd w:val="0"/>
              <w:spacing w:before="0" w:after="0" w:line="240" w:lineRule="auto"/>
              <w:rPr>
                <w:rFonts w:cs="Times New Roman"/>
                <w:szCs w:val="24"/>
              </w:rPr>
            </w:pPr>
            <w:r w:rsidRPr="007D646F">
              <w:rPr>
                <w:rFonts w:cs="Times New Roman"/>
                <w:szCs w:val="24"/>
              </w:rPr>
              <w:t>Banques privées</w:t>
            </w:r>
          </w:p>
        </w:tc>
        <w:tc>
          <w:tcPr>
            <w:tcW w:w="1132" w:type="dxa"/>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32,9</w:t>
            </w:r>
          </w:p>
        </w:tc>
        <w:tc>
          <w:tcPr>
            <w:tcW w:w="1272" w:type="dxa"/>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29,3</w:t>
            </w:r>
          </w:p>
        </w:tc>
        <w:tc>
          <w:tcPr>
            <w:tcW w:w="1272" w:type="dxa"/>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28,8</w:t>
            </w:r>
          </w:p>
        </w:tc>
        <w:tc>
          <w:tcPr>
            <w:tcW w:w="1303" w:type="dxa"/>
            <w:vAlign w:val="center"/>
          </w:tcPr>
          <w:p w:rsidR="001D5E53" w:rsidRPr="007D646F" w:rsidRDefault="001D5E53" w:rsidP="00060EA3">
            <w:pPr>
              <w:autoSpaceDE w:val="0"/>
              <w:autoSpaceDN w:val="0"/>
              <w:adjustRightInd w:val="0"/>
              <w:spacing w:before="0" w:after="0" w:line="240" w:lineRule="auto"/>
              <w:ind w:firstLine="86"/>
              <w:jc w:val="center"/>
              <w:rPr>
                <w:rFonts w:cs="Times New Roman"/>
                <w:szCs w:val="24"/>
              </w:rPr>
            </w:pPr>
            <w:r w:rsidRPr="007D646F">
              <w:rPr>
                <w:rFonts w:cs="Times New Roman"/>
                <w:szCs w:val="24"/>
              </w:rPr>
              <w:t>29,5</w:t>
            </w:r>
          </w:p>
        </w:tc>
      </w:tr>
    </w:tbl>
    <w:p w:rsidR="001D5E53" w:rsidRPr="00381574" w:rsidRDefault="00615C53" w:rsidP="00381574">
      <w:pPr>
        <w:jc w:val="right"/>
        <w:rPr>
          <w:rFonts w:cs="Times New Roman"/>
          <w:b/>
          <w:bCs/>
          <w:sz w:val="20"/>
          <w:szCs w:val="20"/>
        </w:rPr>
      </w:pPr>
      <w:r>
        <w:rPr>
          <w:rFonts w:cs="Times New Roman"/>
          <w:sz w:val="20"/>
          <w:szCs w:val="20"/>
        </w:rPr>
        <w:t>Source : R</w:t>
      </w:r>
      <w:r w:rsidR="00381574" w:rsidRPr="00381574">
        <w:rPr>
          <w:rFonts w:cs="Times New Roman"/>
          <w:sz w:val="20"/>
          <w:szCs w:val="20"/>
        </w:rPr>
        <w:t>éalisé par nous-mêmes, inspiré des données du rapport du FMI</w:t>
      </w:r>
      <w:r>
        <w:rPr>
          <w:rFonts w:cs="Times New Roman"/>
          <w:sz w:val="20"/>
          <w:szCs w:val="20"/>
        </w:rPr>
        <w:t>, 2014, P 17</w:t>
      </w:r>
      <w:r>
        <w:rPr>
          <w:rStyle w:val="Appelnotedebasdep"/>
          <w:rFonts w:cs="Times New Roman"/>
          <w:sz w:val="20"/>
          <w:szCs w:val="20"/>
        </w:rPr>
        <w:footnoteReference w:id="36"/>
      </w:r>
      <w:r w:rsidR="00381574" w:rsidRPr="00381574">
        <w:rPr>
          <w:rFonts w:cs="Times New Roman"/>
          <w:sz w:val="20"/>
          <w:szCs w:val="20"/>
        </w:rPr>
        <w:t>.</w:t>
      </w:r>
    </w:p>
    <w:p w:rsidR="001D5E53" w:rsidRDefault="006517B5" w:rsidP="001D5E53">
      <w:pPr>
        <w:pStyle w:val="Titre2"/>
        <w:rPr>
          <w:sz w:val="28"/>
        </w:rPr>
      </w:pPr>
      <w:bookmarkStart w:id="70" w:name="_Toc431416588"/>
      <w:bookmarkStart w:id="71" w:name="_Toc431980018"/>
      <w:r>
        <w:t>4</w:t>
      </w:r>
      <w:r w:rsidR="00E44A61">
        <w:t xml:space="preserve">.2 </w:t>
      </w:r>
      <w:r w:rsidR="001D5E53" w:rsidRPr="00D15B2C">
        <w:t xml:space="preserve"> Présentation d’une comparaison entre une banque  nationale algérienne (BDL) et une banque étrangère française (Société générale), résidente en Algérie</w:t>
      </w:r>
      <w:r w:rsidR="001D5E53" w:rsidRPr="00D15B2C">
        <w:rPr>
          <w:sz w:val="28"/>
        </w:rPr>
        <w:t xml:space="preserve"> :</w:t>
      </w:r>
      <w:bookmarkEnd w:id="70"/>
      <w:bookmarkEnd w:id="71"/>
    </w:p>
    <w:p w:rsidR="001D5E53" w:rsidRDefault="001D5E53" w:rsidP="002964F9">
      <w:r w:rsidRPr="004546CF">
        <w:t xml:space="preserve">Dans le but </w:t>
      </w:r>
      <w:r>
        <w:t xml:space="preserve">de </w:t>
      </w:r>
      <w:r w:rsidR="002964F9">
        <w:t>confirmer</w:t>
      </w:r>
      <w:r>
        <w:t xml:space="preserve"> l’existence d’une surliquidité dans les b</w:t>
      </w:r>
      <w:r w:rsidR="002964F9">
        <w:t xml:space="preserve">anques algériennes, nous avons </w:t>
      </w:r>
      <w:r>
        <w:t xml:space="preserve">utilisé un indicateur de stabilité du secteur bancaire en </w:t>
      </w:r>
      <w:r w:rsidR="002964F9">
        <w:t>calculant</w:t>
      </w:r>
      <w:r>
        <w:t xml:space="preserve"> le ratio </w:t>
      </w:r>
      <w:r w:rsidRPr="00841FCE">
        <w:t>crédits accordés/dépôts collectés</w:t>
      </w:r>
      <w:r>
        <w:t xml:space="preserve"> pour une banque nationale algérienne et une banque étrangère non résidente.</w:t>
      </w:r>
    </w:p>
    <w:p w:rsidR="001D5E53" w:rsidRDefault="006517B5" w:rsidP="00DE4E45">
      <w:pPr>
        <w:pStyle w:val="Titre3"/>
        <w:numPr>
          <w:ilvl w:val="0"/>
          <w:numId w:val="0"/>
        </w:numPr>
        <w:ind w:left="720"/>
      </w:pPr>
      <w:bookmarkStart w:id="72" w:name="_Toc431980019"/>
      <w:bookmarkStart w:id="73" w:name="_Toc431416589"/>
      <w:bookmarkStart w:id="74" w:name="_Toc431980020"/>
      <w:bookmarkEnd w:id="72"/>
      <w:r>
        <w:t>4</w:t>
      </w:r>
      <w:r w:rsidR="00E44A61">
        <w:t xml:space="preserve">.2.1 </w:t>
      </w:r>
      <w:r w:rsidR="001D5E53" w:rsidRPr="00D15B2C">
        <w:t xml:space="preserve"> Calcul du ratio crédits accordés/dépôts collectés</w:t>
      </w:r>
      <w:bookmarkEnd w:id="73"/>
      <w:bookmarkEnd w:id="74"/>
    </w:p>
    <w:p w:rsidR="001D5E53" w:rsidRPr="002A4979" w:rsidRDefault="001D5E53" w:rsidP="001D5E53">
      <w:pPr>
        <w:rPr>
          <w:rFonts w:cs="Times New Roman"/>
          <w:szCs w:val="24"/>
        </w:rPr>
      </w:pPr>
      <w:r w:rsidRPr="002A4979">
        <w:rPr>
          <w:rFonts w:cs="Times New Roman"/>
          <w:szCs w:val="24"/>
        </w:rPr>
        <w:t xml:space="preserve">Dans l’exemple suivant, nous allons calculer ce ratio pour la Banque de Développement Locale qui est une banque nationale sur les 03 années suivantes : </w:t>
      </w:r>
    </w:p>
    <w:p w:rsidR="00F319DE" w:rsidRDefault="00F319DE" w:rsidP="003D2044">
      <w:pPr>
        <w:pStyle w:val="Titre4"/>
        <w:numPr>
          <w:ilvl w:val="0"/>
          <w:numId w:val="0"/>
        </w:numPr>
        <w:ind w:left="360"/>
      </w:pPr>
    </w:p>
    <w:p w:rsidR="00F319DE" w:rsidRDefault="00F319DE" w:rsidP="00F319DE"/>
    <w:p w:rsidR="00E96CB0" w:rsidRDefault="00E96CB0" w:rsidP="003D2044">
      <w:pPr>
        <w:pStyle w:val="Titre4"/>
        <w:numPr>
          <w:ilvl w:val="0"/>
          <w:numId w:val="0"/>
        </w:numPr>
        <w:ind w:left="360"/>
      </w:pPr>
    </w:p>
    <w:p w:rsidR="00E96CB0" w:rsidRPr="00E96CB0" w:rsidRDefault="00E96CB0" w:rsidP="00E96CB0"/>
    <w:p w:rsidR="003D2044" w:rsidRPr="00D15B2C" w:rsidRDefault="006517B5" w:rsidP="003D2044">
      <w:pPr>
        <w:pStyle w:val="Titre4"/>
        <w:numPr>
          <w:ilvl w:val="0"/>
          <w:numId w:val="0"/>
        </w:numPr>
        <w:ind w:left="360"/>
      </w:pPr>
      <w:r>
        <w:lastRenderedPageBreak/>
        <w:t>4</w:t>
      </w:r>
      <w:r w:rsidR="00E44A61">
        <w:t xml:space="preserve">.2.1.1 </w:t>
      </w:r>
      <w:r w:rsidR="003D2044" w:rsidRPr="00D15B2C">
        <w:t xml:space="preserve"> Pour la Banque nationale (BDL)</w:t>
      </w:r>
      <w:r w:rsidR="003D2044">
        <w:t xml:space="preserve"> : </w:t>
      </w:r>
    </w:p>
    <w:p w:rsidR="001D5E53" w:rsidRDefault="001D5E53" w:rsidP="00664FFF">
      <w:pPr>
        <w:ind w:firstLine="0"/>
      </w:pPr>
      <w:r w:rsidRPr="00D15B2C">
        <w:rPr>
          <w:b/>
          <w:bCs/>
        </w:rPr>
        <w:t>Tableau n°1</w:t>
      </w:r>
      <w:r>
        <w:rPr>
          <w:b/>
          <w:bCs/>
        </w:rPr>
        <w:t>0</w:t>
      </w:r>
      <w:r w:rsidRPr="00D15B2C">
        <w:rPr>
          <w:b/>
          <w:bCs/>
        </w:rPr>
        <w:t xml:space="preserve"> : </w:t>
      </w:r>
      <w:r>
        <w:rPr>
          <w:b/>
          <w:bCs/>
        </w:rPr>
        <w:t xml:space="preserve">Calcul du ratio dépôts/crédits. </w:t>
      </w:r>
    </w:p>
    <w:tbl>
      <w:tblPr>
        <w:tblW w:w="9624" w:type="dxa"/>
        <w:tblInd w:w="70" w:type="dxa"/>
        <w:tblCellMar>
          <w:left w:w="70" w:type="dxa"/>
          <w:right w:w="70" w:type="dxa"/>
        </w:tblCellMar>
        <w:tblLook w:val="00A0" w:firstRow="1" w:lastRow="0" w:firstColumn="1" w:lastColumn="0" w:noHBand="0" w:noVBand="0"/>
      </w:tblPr>
      <w:tblGrid>
        <w:gridCol w:w="804"/>
        <w:gridCol w:w="2040"/>
        <w:gridCol w:w="2393"/>
        <w:gridCol w:w="2253"/>
        <w:gridCol w:w="2134"/>
      </w:tblGrid>
      <w:tr w:rsidR="003D2044" w:rsidRPr="00F319DE" w:rsidTr="001023D4">
        <w:trPr>
          <w:trHeight w:val="288"/>
        </w:trPr>
        <w:tc>
          <w:tcPr>
            <w:tcW w:w="9624" w:type="dxa"/>
            <w:gridSpan w:val="5"/>
            <w:vMerge w:val="restart"/>
            <w:tcBorders>
              <w:top w:val="single" w:sz="8" w:space="0" w:color="auto"/>
              <w:left w:val="single" w:sz="8" w:space="0" w:color="auto"/>
              <w:bottom w:val="single" w:sz="12" w:space="0" w:color="000000"/>
              <w:right w:val="single" w:sz="8" w:space="0" w:color="000000"/>
            </w:tcBorders>
            <w:shd w:val="clear" w:color="000000" w:fill="31869B"/>
            <w:noWrap/>
            <w:vAlign w:val="center"/>
          </w:tcPr>
          <w:p w:rsidR="003D2044" w:rsidRPr="00F319DE" w:rsidRDefault="009F5D36" w:rsidP="003D2044">
            <w:pPr>
              <w:spacing w:before="0" w:after="0" w:line="240" w:lineRule="auto"/>
              <w:ind w:firstLine="0"/>
              <w:jc w:val="center"/>
              <w:rPr>
                <w:rFonts w:eastAsia="Calibri" w:cs="Times New Roman"/>
                <w:color w:val="000000"/>
                <w:szCs w:val="24"/>
              </w:rPr>
            </w:pPr>
            <w:r>
              <w:rPr>
                <w:rFonts w:eastAsia="Calibri" w:cs="Times New Roman"/>
                <w:color w:val="000000"/>
                <w:szCs w:val="24"/>
              </w:rPr>
              <w:t xml:space="preserve">Emplois </w:t>
            </w:r>
          </w:p>
        </w:tc>
      </w:tr>
      <w:tr w:rsidR="003D2044" w:rsidRPr="00F319DE" w:rsidTr="001023D4">
        <w:trPr>
          <w:trHeight w:val="276"/>
        </w:trPr>
        <w:tc>
          <w:tcPr>
            <w:tcW w:w="9624" w:type="dxa"/>
            <w:gridSpan w:val="5"/>
            <w:vMerge/>
            <w:tcBorders>
              <w:top w:val="single" w:sz="8" w:space="0" w:color="auto"/>
              <w:left w:val="single" w:sz="8" w:space="0" w:color="auto"/>
              <w:bottom w:val="single" w:sz="12" w:space="0" w:color="000000"/>
              <w:right w:val="single" w:sz="8" w:space="0" w:color="000000"/>
            </w:tcBorders>
            <w:vAlign w:val="center"/>
          </w:tcPr>
          <w:p w:rsidR="003D2044" w:rsidRPr="00F319DE" w:rsidRDefault="003D2044" w:rsidP="003D2044">
            <w:pPr>
              <w:spacing w:before="0" w:after="0" w:line="240" w:lineRule="auto"/>
              <w:ind w:firstLine="0"/>
              <w:jc w:val="left"/>
              <w:rPr>
                <w:rFonts w:eastAsia="Calibri" w:cs="Times New Roman"/>
                <w:color w:val="000000"/>
                <w:szCs w:val="24"/>
              </w:rPr>
            </w:pPr>
          </w:p>
        </w:tc>
      </w:tr>
      <w:tr w:rsidR="003D2044" w:rsidRPr="00F319DE" w:rsidTr="001023D4">
        <w:trPr>
          <w:trHeight w:val="177"/>
        </w:trPr>
        <w:tc>
          <w:tcPr>
            <w:tcW w:w="804" w:type="dxa"/>
            <w:tcBorders>
              <w:top w:val="nil"/>
              <w:left w:val="single" w:sz="12" w:space="0" w:color="auto"/>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CODE</w:t>
            </w:r>
          </w:p>
        </w:tc>
        <w:tc>
          <w:tcPr>
            <w:tcW w:w="2040" w:type="dxa"/>
            <w:tcBorders>
              <w:top w:val="nil"/>
              <w:left w:val="nil"/>
              <w:bottom w:val="nil"/>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p>
        </w:tc>
        <w:tc>
          <w:tcPr>
            <w:tcW w:w="2393" w:type="dxa"/>
            <w:tcBorders>
              <w:top w:val="nil"/>
              <w:left w:val="single" w:sz="12" w:space="0" w:color="auto"/>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2010</w:t>
            </w:r>
          </w:p>
        </w:tc>
        <w:tc>
          <w:tcPr>
            <w:tcW w:w="2253" w:type="dxa"/>
            <w:tcBorders>
              <w:top w:val="nil"/>
              <w:left w:val="nil"/>
              <w:bottom w:val="nil"/>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2011</w:t>
            </w:r>
          </w:p>
        </w:tc>
        <w:tc>
          <w:tcPr>
            <w:tcW w:w="2134" w:type="dxa"/>
            <w:tcBorders>
              <w:top w:val="nil"/>
              <w:left w:val="single" w:sz="12" w:space="0" w:color="auto"/>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2012</w:t>
            </w:r>
          </w:p>
        </w:tc>
      </w:tr>
      <w:tr w:rsidR="003D2044" w:rsidRPr="00F319DE" w:rsidTr="001023D4">
        <w:trPr>
          <w:trHeight w:val="182"/>
        </w:trPr>
        <w:tc>
          <w:tcPr>
            <w:tcW w:w="804" w:type="dxa"/>
            <w:tcBorders>
              <w:top w:val="single" w:sz="8" w:space="0" w:color="auto"/>
              <w:left w:val="single" w:sz="8" w:space="0" w:color="auto"/>
              <w:bottom w:val="single" w:sz="8" w:space="0" w:color="auto"/>
              <w:right w:val="single" w:sz="4" w:space="0" w:color="auto"/>
            </w:tcBorders>
            <w:shd w:val="clear" w:color="000000" w:fill="C4BD97"/>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40</w:t>
            </w:r>
          </w:p>
        </w:tc>
        <w:tc>
          <w:tcPr>
            <w:tcW w:w="2040" w:type="dxa"/>
            <w:tcBorders>
              <w:top w:val="single" w:sz="8" w:space="0" w:color="auto"/>
              <w:left w:val="nil"/>
              <w:bottom w:val="single" w:sz="8" w:space="0" w:color="auto"/>
              <w:right w:val="single" w:sz="4" w:space="0" w:color="auto"/>
            </w:tcBorders>
            <w:shd w:val="clear" w:color="000000" w:fill="C4BD97"/>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Prêts et créances sur les institutions financières</w:t>
            </w:r>
          </w:p>
        </w:tc>
        <w:tc>
          <w:tcPr>
            <w:tcW w:w="2393" w:type="dxa"/>
            <w:tcBorders>
              <w:top w:val="single" w:sz="8" w:space="0" w:color="auto"/>
              <w:left w:val="nil"/>
              <w:bottom w:val="single" w:sz="8" w:space="0" w:color="auto"/>
              <w:right w:val="single" w:sz="4" w:space="0" w:color="auto"/>
            </w:tcBorders>
            <w:shd w:val="clear" w:color="000000" w:fill="C4BD97"/>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55 461 785 953,10</w:t>
            </w:r>
          </w:p>
        </w:tc>
        <w:tc>
          <w:tcPr>
            <w:tcW w:w="2253" w:type="dxa"/>
            <w:tcBorders>
              <w:top w:val="single" w:sz="8" w:space="0" w:color="auto"/>
              <w:left w:val="nil"/>
              <w:bottom w:val="single" w:sz="8" w:space="0" w:color="auto"/>
              <w:right w:val="single" w:sz="4" w:space="0" w:color="auto"/>
            </w:tcBorders>
            <w:shd w:val="clear" w:color="000000" w:fill="C4BD97"/>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57 848 718 030,66</w:t>
            </w:r>
          </w:p>
        </w:tc>
        <w:tc>
          <w:tcPr>
            <w:tcW w:w="2134" w:type="dxa"/>
            <w:tcBorders>
              <w:top w:val="single" w:sz="8" w:space="0" w:color="auto"/>
              <w:left w:val="nil"/>
              <w:bottom w:val="single" w:sz="8" w:space="0" w:color="auto"/>
              <w:right w:val="single" w:sz="8" w:space="0" w:color="auto"/>
            </w:tcBorders>
            <w:shd w:val="clear" w:color="000000" w:fill="C4BD97"/>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 xml:space="preserve">477 237 31 4,89 </w:t>
            </w:r>
          </w:p>
        </w:tc>
      </w:tr>
      <w:tr w:rsidR="003D2044" w:rsidRPr="00F319DE" w:rsidTr="001023D4">
        <w:trPr>
          <w:trHeight w:val="182"/>
        </w:trPr>
        <w:tc>
          <w:tcPr>
            <w:tcW w:w="804" w:type="dxa"/>
            <w:tcBorders>
              <w:top w:val="nil"/>
              <w:left w:val="single" w:sz="4" w:space="0" w:color="auto"/>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41</w:t>
            </w:r>
          </w:p>
        </w:tc>
        <w:tc>
          <w:tcPr>
            <w:tcW w:w="2040" w:type="dxa"/>
            <w:tcBorders>
              <w:top w:val="nil"/>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Comptes à vues</w:t>
            </w:r>
          </w:p>
        </w:tc>
        <w:tc>
          <w:tcPr>
            <w:tcW w:w="2393" w:type="dxa"/>
            <w:tcBorders>
              <w:top w:val="nil"/>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562 785 953,10</w:t>
            </w:r>
          </w:p>
        </w:tc>
        <w:tc>
          <w:tcPr>
            <w:tcW w:w="2253" w:type="dxa"/>
            <w:tcBorders>
              <w:top w:val="nil"/>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447 718 030,66</w:t>
            </w:r>
          </w:p>
        </w:tc>
        <w:tc>
          <w:tcPr>
            <w:tcW w:w="2134" w:type="dxa"/>
            <w:tcBorders>
              <w:top w:val="nil"/>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447 237 314,89</w:t>
            </w:r>
          </w:p>
        </w:tc>
      </w:tr>
      <w:tr w:rsidR="003D2044" w:rsidRPr="00F319DE" w:rsidTr="001023D4">
        <w:trPr>
          <w:trHeight w:val="191"/>
        </w:trPr>
        <w:tc>
          <w:tcPr>
            <w:tcW w:w="804" w:type="dxa"/>
            <w:tcBorders>
              <w:top w:val="single" w:sz="4" w:space="0" w:color="auto"/>
              <w:left w:val="single" w:sz="4" w:space="0" w:color="auto"/>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42</w:t>
            </w:r>
          </w:p>
        </w:tc>
        <w:tc>
          <w:tcPr>
            <w:tcW w:w="2040" w:type="dxa"/>
            <w:tcBorders>
              <w:top w:val="single" w:sz="4" w:space="0" w:color="auto"/>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Compte à terme</w:t>
            </w:r>
          </w:p>
        </w:tc>
        <w:tc>
          <w:tcPr>
            <w:tcW w:w="2393" w:type="dxa"/>
            <w:tcBorders>
              <w:top w:val="single" w:sz="4" w:space="0" w:color="auto"/>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54 899 000 000,00</w:t>
            </w:r>
          </w:p>
        </w:tc>
        <w:tc>
          <w:tcPr>
            <w:tcW w:w="2253" w:type="dxa"/>
            <w:tcBorders>
              <w:top w:val="single" w:sz="4" w:space="0" w:color="auto"/>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57 371 000 000,00</w:t>
            </w:r>
          </w:p>
        </w:tc>
        <w:tc>
          <w:tcPr>
            <w:tcW w:w="2134" w:type="dxa"/>
            <w:tcBorders>
              <w:top w:val="single" w:sz="4" w:space="0" w:color="auto"/>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 </w:t>
            </w:r>
          </w:p>
        </w:tc>
      </w:tr>
      <w:tr w:rsidR="003D2044" w:rsidRPr="00F319DE" w:rsidTr="001023D4">
        <w:trPr>
          <w:trHeight w:val="177"/>
        </w:trPr>
        <w:tc>
          <w:tcPr>
            <w:tcW w:w="804" w:type="dxa"/>
            <w:tcBorders>
              <w:top w:val="single" w:sz="8" w:space="0" w:color="auto"/>
              <w:left w:val="single" w:sz="8" w:space="0" w:color="auto"/>
              <w:bottom w:val="single" w:sz="8" w:space="0" w:color="auto"/>
              <w:right w:val="single" w:sz="4" w:space="0" w:color="auto"/>
            </w:tcBorders>
            <w:shd w:val="clear" w:color="000000" w:fill="C4BD97"/>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50</w:t>
            </w:r>
          </w:p>
        </w:tc>
        <w:tc>
          <w:tcPr>
            <w:tcW w:w="2040" w:type="dxa"/>
            <w:tcBorders>
              <w:top w:val="single" w:sz="8" w:space="0" w:color="auto"/>
              <w:left w:val="nil"/>
              <w:bottom w:val="single" w:sz="8" w:space="0" w:color="auto"/>
              <w:right w:val="single" w:sz="4" w:space="0" w:color="auto"/>
            </w:tcBorders>
            <w:shd w:val="clear" w:color="000000" w:fill="C4BD97"/>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Prêts et créances sur la clientèle</w:t>
            </w:r>
          </w:p>
        </w:tc>
        <w:tc>
          <w:tcPr>
            <w:tcW w:w="2393" w:type="dxa"/>
            <w:tcBorders>
              <w:top w:val="single" w:sz="8" w:space="0" w:color="auto"/>
              <w:left w:val="nil"/>
              <w:bottom w:val="single" w:sz="8" w:space="0" w:color="auto"/>
              <w:right w:val="single" w:sz="4" w:space="0" w:color="auto"/>
            </w:tcBorders>
            <w:shd w:val="clear" w:color="000000" w:fill="C4BD97"/>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153 579 206 574,94</w:t>
            </w:r>
          </w:p>
        </w:tc>
        <w:tc>
          <w:tcPr>
            <w:tcW w:w="2253" w:type="dxa"/>
            <w:tcBorders>
              <w:top w:val="single" w:sz="8" w:space="0" w:color="auto"/>
              <w:left w:val="nil"/>
              <w:bottom w:val="single" w:sz="8" w:space="0" w:color="auto"/>
              <w:right w:val="single" w:sz="4" w:space="0" w:color="auto"/>
            </w:tcBorders>
            <w:shd w:val="clear" w:color="000000" w:fill="C4BD97"/>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197 771 608 168,54</w:t>
            </w:r>
          </w:p>
        </w:tc>
        <w:tc>
          <w:tcPr>
            <w:tcW w:w="2134" w:type="dxa"/>
            <w:tcBorders>
              <w:top w:val="single" w:sz="8" w:space="0" w:color="auto"/>
              <w:left w:val="nil"/>
              <w:bottom w:val="single" w:sz="8" w:space="0" w:color="auto"/>
              <w:right w:val="single" w:sz="8" w:space="0" w:color="auto"/>
            </w:tcBorders>
            <w:shd w:val="clear" w:color="000000" w:fill="C4BD97"/>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268 276 137 116,64</w:t>
            </w:r>
          </w:p>
        </w:tc>
      </w:tr>
      <w:tr w:rsidR="003D2044" w:rsidRPr="00F319DE" w:rsidTr="001023D4">
        <w:trPr>
          <w:trHeight w:val="185"/>
        </w:trPr>
        <w:tc>
          <w:tcPr>
            <w:tcW w:w="804" w:type="dxa"/>
            <w:tcBorders>
              <w:top w:val="nil"/>
              <w:left w:val="single" w:sz="4" w:space="0" w:color="auto"/>
              <w:bottom w:val="single" w:sz="4"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 </w:t>
            </w:r>
          </w:p>
        </w:tc>
        <w:tc>
          <w:tcPr>
            <w:tcW w:w="2040" w:type="dxa"/>
            <w:tcBorders>
              <w:top w:val="nil"/>
              <w:left w:val="nil"/>
              <w:bottom w:val="single" w:sz="4"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Créances commerciales</w:t>
            </w:r>
          </w:p>
        </w:tc>
        <w:tc>
          <w:tcPr>
            <w:tcW w:w="2393" w:type="dxa"/>
            <w:tcBorders>
              <w:top w:val="nil"/>
              <w:left w:val="nil"/>
              <w:bottom w:val="single" w:sz="4"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2 946 356 316,80</w:t>
            </w:r>
          </w:p>
        </w:tc>
        <w:tc>
          <w:tcPr>
            <w:tcW w:w="2253" w:type="dxa"/>
            <w:tcBorders>
              <w:top w:val="nil"/>
              <w:left w:val="nil"/>
              <w:bottom w:val="single" w:sz="4"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3 789 169 878,54</w:t>
            </w:r>
          </w:p>
        </w:tc>
        <w:tc>
          <w:tcPr>
            <w:tcW w:w="2134" w:type="dxa"/>
            <w:tcBorders>
              <w:top w:val="nil"/>
              <w:left w:val="nil"/>
              <w:bottom w:val="single" w:sz="4"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4 230 949 074,95</w:t>
            </w:r>
          </w:p>
        </w:tc>
      </w:tr>
      <w:tr w:rsidR="003D2044" w:rsidRPr="00F319DE" w:rsidTr="001023D4">
        <w:trPr>
          <w:trHeight w:val="171"/>
        </w:trPr>
        <w:tc>
          <w:tcPr>
            <w:tcW w:w="804" w:type="dxa"/>
            <w:tcBorders>
              <w:top w:val="nil"/>
              <w:left w:val="single" w:sz="4" w:space="0" w:color="auto"/>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 </w:t>
            </w:r>
          </w:p>
        </w:tc>
        <w:tc>
          <w:tcPr>
            <w:tcW w:w="2040" w:type="dxa"/>
            <w:tcBorders>
              <w:top w:val="nil"/>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Autres encours à la clientèle</w:t>
            </w:r>
          </w:p>
        </w:tc>
        <w:tc>
          <w:tcPr>
            <w:tcW w:w="2393" w:type="dxa"/>
            <w:tcBorders>
              <w:top w:val="nil"/>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123 504 188 357,92</w:t>
            </w:r>
          </w:p>
        </w:tc>
        <w:tc>
          <w:tcPr>
            <w:tcW w:w="2253" w:type="dxa"/>
            <w:tcBorders>
              <w:top w:val="nil"/>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159 232 899 481,50</w:t>
            </w:r>
          </w:p>
        </w:tc>
        <w:tc>
          <w:tcPr>
            <w:tcW w:w="2134" w:type="dxa"/>
            <w:tcBorders>
              <w:top w:val="nil"/>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225 764 184 811,23</w:t>
            </w:r>
          </w:p>
        </w:tc>
      </w:tr>
      <w:tr w:rsidR="003D2044" w:rsidRPr="00F319DE" w:rsidTr="001023D4">
        <w:trPr>
          <w:trHeight w:val="171"/>
        </w:trPr>
        <w:tc>
          <w:tcPr>
            <w:tcW w:w="804" w:type="dxa"/>
            <w:tcBorders>
              <w:top w:val="single" w:sz="4" w:space="0" w:color="auto"/>
              <w:left w:val="single" w:sz="4" w:space="0" w:color="auto"/>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 </w:t>
            </w:r>
          </w:p>
        </w:tc>
        <w:tc>
          <w:tcPr>
            <w:tcW w:w="2040" w:type="dxa"/>
            <w:tcBorders>
              <w:top w:val="single" w:sz="4" w:space="0" w:color="auto"/>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Comptes ordinaires débiteurs</w:t>
            </w:r>
          </w:p>
        </w:tc>
        <w:tc>
          <w:tcPr>
            <w:tcW w:w="2393" w:type="dxa"/>
            <w:tcBorders>
              <w:top w:val="single" w:sz="4" w:space="0" w:color="auto"/>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27 128 661 900,22</w:t>
            </w:r>
          </w:p>
        </w:tc>
        <w:tc>
          <w:tcPr>
            <w:tcW w:w="2253" w:type="dxa"/>
            <w:tcBorders>
              <w:top w:val="single" w:sz="4" w:space="0" w:color="auto"/>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34 749 538 808,50</w:t>
            </w:r>
          </w:p>
        </w:tc>
        <w:tc>
          <w:tcPr>
            <w:tcW w:w="2134" w:type="dxa"/>
            <w:tcBorders>
              <w:top w:val="single" w:sz="4" w:space="0" w:color="auto"/>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38 281 003 230,46</w:t>
            </w:r>
          </w:p>
        </w:tc>
      </w:tr>
      <w:tr w:rsidR="003D2044" w:rsidRPr="00F319DE" w:rsidTr="001023D4">
        <w:trPr>
          <w:trHeight w:val="185"/>
        </w:trPr>
        <w:tc>
          <w:tcPr>
            <w:tcW w:w="804" w:type="dxa"/>
            <w:tcBorders>
              <w:top w:val="single" w:sz="8" w:space="0" w:color="auto"/>
              <w:left w:val="single" w:sz="8" w:space="0" w:color="auto"/>
              <w:bottom w:val="single" w:sz="8" w:space="0" w:color="auto"/>
              <w:right w:val="single" w:sz="4"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 </w:t>
            </w:r>
          </w:p>
        </w:tc>
        <w:tc>
          <w:tcPr>
            <w:tcW w:w="2040" w:type="dxa"/>
            <w:tcBorders>
              <w:top w:val="single" w:sz="8" w:space="0" w:color="auto"/>
              <w:left w:val="nil"/>
              <w:bottom w:val="single" w:sz="8" w:space="0" w:color="auto"/>
              <w:right w:val="single" w:sz="4"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TOTAL</w:t>
            </w:r>
          </w:p>
        </w:tc>
        <w:tc>
          <w:tcPr>
            <w:tcW w:w="2393" w:type="dxa"/>
            <w:tcBorders>
              <w:top w:val="single" w:sz="8" w:space="0" w:color="auto"/>
              <w:left w:val="nil"/>
              <w:bottom w:val="single" w:sz="8" w:space="0" w:color="auto"/>
              <w:right w:val="single" w:sz="4"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209 040 992 528,04</w:t>
            </w:r>
          </w:p>
        </w:tc>
        <w:tc>
          <w:tcPr>
            <w:tcW w:w="2253" w:type="dxa"/>
            <w:tcBorders>
              <w:top w:val="single" w:sz="8" w:space="0" w:color="auto"/>
              <w:left w:val="nil"/>
              <w:bottom w:val="single" w:sz="8" w:space="0" w:color="auto"/>
              <w:right w:val="single" w:sz="4"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255 620 326 199,20</w:t>
            </w:r>
          </w:p>
        </w:tc>
        <w:tc>
          <w:tcPr>
            <w:tcW w:w="2134" w:type="dxa"/>
            <w:tcBorders>
              <w:top w:val="single" w:sz="8" w:space="0" w:color="auto"/>
              <w:left w:val="nil"/>
              <w:bottom w:val="single" w:sz="8" w:space="0" w:color="auto"/>
              <w:right w:val="single" w:sz="8"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268 753 374 431,53</w:t>
            </w:r>
          </w:p>
        </w:tc>
      </w:tr>
      <w:tr w:rsidR="003D2044" w:rsidRPr="00F319DE" w:rsidTr="001023D4">
        <w:trPr>
          <w:trHeight w:val="182"/>
        </w:trPr>
        <w:tc>
          <w:tcPr>
            <w:tcW w:w="9624" w:type="dxa"/>
            <w:gridSpan w:val="5"/>
            <w:tcBorders>
              <w:top w:val="single" w:sz="8" w:space="0" w:color="auto"/>
              <w:left w:val="single" w:sz="8" w:space="0" w:color="auto"/>
              <w:bottom w:val="single" w:sz="8" w:space="0" w:color="auto"/>
              <w:right w:val="single" w:sz="8" w:space="0" w:color="000000"/>
            </w:tcBorders>
            <w:shd w:val="clear" w:color="000000" w:fill="31869B"/>
            <w:noWrap/>
            <w:vAlign w:val="center"/>
          </w:tcPr>
          <w:p w:rsidR="003D2044" w:rsidRPr="00F319DE" w:rsidRDefault="009F5D36" w:rsidP="003D2044">
            <w:pPr>
              <w:spacing w:before="0" w:after="0" w:line="240" w:lineRule="auto"/>
              <w:ind w:firstLine="0"/>
              <w:jc w:val="center"/>
              <w:rPr>
                <w:rFonts w:eastAsia="Calibri" w:cs="Times New Roman"/>
                <w:color w:val="000000"/>
                <w:szCs w:val="24"/>
              </w:rPr>
            </w:pPr>
            <w:r>
              <w:rPr>
                <w:rFonts w:eastAsia="Calibri" w:cs="Times New Roman"/>
                <w:color w:val="000000"/>
                <w:szCs w:val="24"/>
              </w:rPr>
              <w:t xml:space="preserve">Ressources </w:t>
            </w:r>
          </w:p>
        </w:tc>
      </w:tr>
      <w:tr w:rsidR="003D2044" w:rsidRPr="00F319DE" w:rsidTr="001023D4">
        <w:trPr>
          <w:trHeight w:val="177"/>
        </w:trPr>
        <w:tc>
          <w:tcPr>
            <w:tcW w:w="804" w:type="dxa"/>
            <w:tcBorders>
              <w:top w:val="nil"/>
              <w:left w:val="single" w:sz="4" w:space="0" w:color="auto"/>
              <w:bottom w:val="single" w:sz="4" w:space="0" w:color="auto"/>
              <w:right w:val="single" w:sz="4"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20</w:t>
            </w:r>
          </w:p>
        </w:tc>
        <w:tc>
          <w:tcPr>
            <w:tcW w:w="2040" w:type="dxa"/>
            <w:tcBorders>
              <w:top w:val="nil"/>
              <w:left w:val="nil"/>
              <w:bottom w:val="nil"/>
              <w:right w:val="nil"/>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 xml:space="preserve">   Dettes envers les institutions financières</w:t>
            </w:r>
          </w:p>
        </w:tc>
        <w:tc>
          <w:tcPr>
            <w:tcW w:w="2393" w:type="dxa"/>
            <w:tcBorders>
              <w:top w:val="nil"/>
              <w:left w:val="single" w:sz="4" w:space="0" w:color="auto"/>
              <w:bottom w:val="single" w:sz="4" w:space="0" w:color="auto"/>
              <w:right w:val="single" w:sz="4"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1 845 856 197,60</w:t>
            </w:r>
          </w:p>
        </w:tc>
        <w:tc>
          <w:tcPr>
            <w:tcW w:w="2253" w:type="dxa"/>
            <w:tcBorders>
              <w:top w:val="nil"/>
              <w:left w:val="nil"/>
              <w:bottom w:val="nil"/>
              <w:right w:val="nil"/>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1 529 923 791,20</w:t>
            </w:r>
          </w:p>
        </w:tc>
        <w:tc>
          <w:tcPr>
            <w:tcW w:w="2134" w:type="dxa"/>
            <w:tcBorders>
              <w:top w:val="nil"/>
              <w:left w:val="single" w:sz="4" w:space="0" w:color="auto"/>
              <w:bottom w:val="nil"/>
              <w:right w:val="nil"/>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1 406 412 509,03</w:t>
            </w:r>
          </w:p>
        </w:tc>
      </w:tr>
      <w:tr w:rsidR="003D2044" w:rsidRPr="00F319DE" w:rsidTr="001023D4">
        <w:trPr>
          <w:trHeight w:val="177"/>
        </w:trPr>
        <w:tc>
          <w:tcPr>
            <w:tcW w:w="804" w:type="dxa"/>
            <w:tcBorders>
              <w:top w:val="nil"/>
              <w:left w:val="single" w:sz="4" w:space="0" w:color="auto"/>
              <w:bottom w:val="single" w:sz="4" w:space="0" w:color="auto"/>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21</w:t>
            </w:r>
          </w:p>
        </w:tc>
        <w:tc>
          <w:tcPr>
            <w:tcW w:w="2040" w:type="dxa"/>
            <w:tcBorders>
              <w:top w:val="single" w:sz="4" w:space="0" w:color="auto"/>
              <w:left w:val="single" w:sz="4" w:space="0" w:color="auto"/>
              <w:bottom w:val="single" w:sz="4" w:space="0" w:color="auto"/>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Dettes à vues</w:t>
            </w:r>
          </w:p>
        </w:tc>
        <w:tc>
          <w:tcPr>
            <w:tcW w:w="2393" w:type="dxa"/>
            <w:tcBorders>
              <w:top w:val="nil"/>
              <w:left w:val="single" w:sz="4" w:space="0" w:color="auto"/>
              <w:bottom w:val="single" w:sz="4" w:space="0" w:color="auto"/>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822 307 006,47</w:t>
            </w:r>
          </w:p>
        </w:tc>
        <w:tc>
          <w:tcPr>
            <w:tcW w:w="2253" w:type="dxa"/>
            <w:tcBorders>
              <w:top w:val="single" w:sz="4" w:space="0" w:color="auto"/>
              <w:left w:val="single" w:sz="4" w:space="0" w:color="auto"/>
              <w:bottom w:val="single" w:sz="4"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787 409 353,84</w:t>
            </w:r>
          </w:p>
        </w:tc>
        <w:tc>
          <w:tcPr>
            <w:tcW w:w="2134" w:type="dxa"/>
            <w:tcBorders>
              <w:top w:val="single" w:sz="4" w:space="0" w:color="auto"/>
              <w:left w:val="nil"/>
              <w:bottom w:val="single" w:sz="4"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785 248 080</w:t>
            </w:r>
          </w:p>
        </w:tc>
      </w:tr>
      <w:tr w:rsidR="003D2044" w:rsidRPr="00F319DE" w:rsidTr="001023D4">
        <w:trPr>
          <w:trHeight w:val="177"/>
        </w:trPr>
        <w:tc>
          <w:tcPr>
            <w:tcW w:w="804" w:type="dxa"/>
            <w:tcBorders>
              <w:top w:val="nil"/>
              <w:left w:val="nil"/>
              <w:bottom w:val="single" w:sz="12" w:space="0" w:color="auto"/>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22</w:t>
            </w:r>
          </w:p>
        </w:tc>
        <w:tc>
          <w:tcPr>
            <w:tcW w:w="2040" w:type="dxa"/>
            <w:tcBorders>
              <w:top w:val="nil"/>
              <w:left w:val="single" w:sz="4" w:space="0" w:color="auto"/>
              <w:bottom w:val="single" w:sz="12" w:space="0" w:color="auto"/>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Dettes à terme</w:t>
            </w:r>
          </w:p>
        </w:tc>
        <w:tc>
          <w:tcPr>
            <w:tcW w:w="2393" w:type="dxa"/>
            <w:tcBorders>
              <w:top w:val="nil"/>
              <w:left w:val="single" w:sz="4" w:space="0" w:color="auto"/>
              <w:bottom w:val="single" w:sz="12"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1 023 549 191,13</w:t>
            </w:r>
          </w:p>
        </w:tc>
        <w:tc>
          <w:tcPr>
            <w:tcW w:w="2253" w:type="dxa"/>
            <w:tcBorders>
              <w:top w:val="nil"/>
              <w:left w:val="nil"/>
              <w:bottom w:val="single" w:sz="12" w:space="0" w:color="auto"/>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742 514 437,38</w:t>
            </w:r>
          </w:p>
        </w:tc>
        <w:tc>
          <w:tcPr>
            <w:tcW w:w="2134" w:type="dxa"/>
            <w:tcBorders>
              <w:top w:val="nil"/>
              <w:left w:val="single" w:sz="4" w:space="0" w:color="auto"/>
              <w:bottom w:val="single" w:sz="12"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621 164 429,50</w:t>
            </w:r>
          </w:p>
        </w:tc>
      </w:tr>
      <w:tr w:rsidR="003D2044" w:rsidRPr="00F319DE" w:rsidTr="001023D4">
        <w:trPr>
          <w:trHeight w:val="182"/>
        </w:trPr>
        <w:tc>
          <w:tcPr>
            <w:tcW w:w="804" w:type="dxa"/>
            <w:tcBorders>
              <w:top w:val="nil"/>
              <w:left w:val="single" w:sz="12" w:space="0" w:color="auto"/>
              <w:bottom w:val="single" w:sz="12" w:space="0" w:color="auto"/>
              <w:right w:val="single" w:sz="12"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30</w:t>
            </w:r>
          </w:p>
        </w:tc>
        <w:tc>
          <w:tcPr>
            <w:tcW w:w="2040" w:type="dxa"/>
            <w:tcBorders>
              <w:top w:val="nil"/>
              <w:left w:val="nil"/>
              <w:bottom w:val="single" w:sz="12" w:space="0" w:color="auto"/>
              <w:right w:val="single" w:sz="12"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Dettes envers la clientèle</w:t>
            </w:r>
          </w:p>
        </w:tc>
        <w:tc>
          <w:tcPr>
            <w:tcW w:w="2393" w:type="dxa"/>
            <w:tcBorders>
              <w:top w:val="nil"/>
              <w:left w:val="nil"/>
              <w:bottom w:val="single" w:sz="12" w:space="0" w:color="auto"/>
              <w:right w:val="single" w:sz="12"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243 532 560 753,13</w:t>
            </w:r>
          </w:p>
        </w:tc>
        <w:tc>
          <w:tcPr>
            <w:tcW w:w="2253" w:type="dxa"/>
            <w:tcBorders>
              <w:top w:val="nil"/>
              <w:left w:val="nil"/>
              <w:bottom w:val="single" w:sz="12" w:space="0" w:color="auto"/>
              <w:right w:val="single" w:sz="12"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284 708 201 983,22</w:t>
            </w:r>
          </w:p>
        </w:tc>
        <w:tc>
          <w:tcPr>
            <w:tcW w:w="2134" w:type="dxa"/>
            <w:tcBorders>
              <w:top w:val="nil"/>
              <w:left w:val="nil"/>
              <w:bottom w:val="single" w:sz="12" w:space="0" w:color="auto"/>
              <w:right w:val="single" w:sz="12"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294 355 119 741,21</w:t>
            </w:r>
          </w:p>
        </w:tc>
      </w:tr>
      <w:tr w:rsidR="003D2044" w:rsidRPr="00F319DE" w:rsidTr="001023D4">
        <w:trPr>
          <w:trHeight w:val="177"/>
        </w:trPr>
        <w:tc>
          <w:tcPr>
            <w:tcW w:w="804" w:type="dxa"/>
            <w:tcBorders>
              <w:top w:val="nil"/>
              <w:left w:val="single" w:sz="4" w:space="0" w:color="auto"/>
              <w:bottom w:val="single" w:sz="4" w:space="0" w:color="auto"/>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31</w:t>
            </w:r>
          </w:p>
        </w:tc>
        <w:tc>
          <w:tcPr>
            <w:tcW w:w="2040" w:type="dxa"/>
            <w:tcBorders>
              <w:top w:val="nil"/>
              <w:left w:val="single" w:sz="4" w:space="0" w:color="auto"/>
              <w:bottom w:val="single" w:sz="4"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Compte d'épargne</w:t>
            </w:r>
          </w:p>
        </w:tc>
        <w:tc>
          <w:tcPr>
            <w:tcW w:w="2393" w:type="dxa"/>
            <w:tcBorders>
              <w:top w:val="nil"/>
              <w:left w:val="nil"/>
              <w:bottom w:val="single" w:sz="4"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123 917 598 770,23</w:t>
            </w:r>
          </w:p>
        </w:tc>
        <w:tc>
          <w:tcPr>
            <w:tcW w:w="2253" w:type="dxa"/>
            <w:tcBorders>
              <w:top w:val="nil"/>
              <w:left w:val="nil"/>
              <w:bottom w:val="single" w:sz="4"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130 715 344 983,68</w:t>
            </w:r>
          </w:p>
        </w:tc>
        <w:tc>
          <w:tcPr>
            <w:tcW w:w="2134" w:type="dxa"/>
            <w:tcBorders>
              <w:top w:val="nil"/>
              <w:left w:val="nil"/>
              <w:bottom w:val="single" w:sz="4"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136 724 216 517,80</w:t>
            </w:r>
          </w:p>
        </w:tc>
      </w:tr>
      <w:tr w:rsidR="003D2044" w:rsidRPr="00F319DE" w:rsidTr="001023D4">
        <w:trPr>
          <w:trHeight w:val="177"/>
        </w:trPr>
        <w:tc>
          <w:tcPr>
            <w:tcW w:w="804" w:type="dxa"/>
            <w:tcBorders>
              <w:top w:val="nil"/>
              <w:left w:val="single" w:sz="4" w:space="0" w:color="auto"/>
              <w:bottom w:val="single" w:sz="12"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32</w:t>
            </w:r>
          </w:p>
        </w:tc>
        <w:tc>
          <w:tcPr>
            <w:tcW w:w="2040" w:type="dxa"/>
            <w:tcBorders>
              <w:top w:val="nil"/>
              <w:left w:val="nil"/>
              <w:bottom w:val="single" w:sz="12"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Comptes créditeur à vue</w:t>
            </w:r>
          </w:p>
        </w:tc>
        <w:tc>
          <w:tcPr>
            <w:tcW w:w="2393" w:type="dxa"/>
            <w:tcBorders>
              <w:top w:val="nil"/>
              <w:left w:val="nil"/>
              <w:bottom w:val="nil"/>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97 628 082 444,34</w:t>
            </w:r>
          </w:p>
        </w:tc>
        <w:tc>
          <w:tcPr>
            <w:tcW w:w="2253" w:type="dxa"/>
            <w:tcBorders>
              <w:top w:val="nil"/>
              <w:left w:val="nil"/>
              <w:bottom w:val="single" w:sz="12" w:space="0" w:color="auto"/>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109 428 130 848,06</w:t>
            </w:r>
          </w:p>
        </w:tc>
        <w:tc>
          <w:tcPr>
            <w:tcW w:w="2134" w:type="dxa"/>
            <w:tcBorders>
              <w:top w:val="nil"/>
              <w:left w:val="single" w:sz="4" w:space="0" w:color="auto"/>
              <w:bottom w:val="single" w:sz="12"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116 229 585 688,00</w:t>
            </w:r>
          </w:p>
        </w:tc>
      </w:tr>
      <w:tr w:rsidR="003D2044" w:rsidRPr="00F319DE" w:rsidTr="001023D4">
        <w:trPr>
          <w:trHeight w:val="177"/>
        </w:trPr>
        <w:tc>
          <w:tcPr>
            <w:tcW w:w="804" w:type="dxa"/>
            <w:tcBorders>
              <w:top w:val="nil"/>
              <w:left w:val="single" w:sz="12" w:space="0" w:color="auto"/>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33</w:t>
            </w:r>
          </w:p>
        </w:tc>
        <w:tc>
          <w:tcPr>
            <w:tcW w:w="2040" w:type="dxa"/>
            <w:tcBorders>
              <w:top w:val="nil"/>
              <w:left w:val="nil"/>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Compte créditeur à terme</w:t>
            </w:r>
          </w:p>
        </w:tc>
        <w:tc>
          <w:tcPr>
            <w:tcW w:w="2393" w:type="dxa"/>
            <w:tcBorders>
              <w:top w:val="single" w:sz="12" w:space="0" w:color="auto"/>
              <w:left w:val="nil"/>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26 289 516 325,89</w:t>
            </w:r>
          </w:p>
        </w:tc>
        <w:tc>
          <w:tcPr>
            <w:tcW w:w="2253" w:type="dxa"/>
            <w:tcBorders>
              <w:top w:val="nil"/>
              <w:left w:val="nil"/>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21 287 214 135,62</w:t>
            </w:r>
          </w:p>
        </w:tc>
        <w:tc>
          <w:tcPr>
            <w:tcW w:w="2134" w:type="dxa"/>
            <w:tcBorders>
              <w:top w:val="nil"/>
              <w:left w:val="nil"/>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20 494 630 829,80</w:t>
            </w:r>
          </w:p>
        </w:tc>
      </w:tr>
      <w:tr w:rsidR="003D2044" w:rsidRPr="00F319DE" w:rsidTr="001023D4">
        <w:trPr>
          <w:trHeight w:val="171"/>
        </w:trPr>
        <w:tc>
          <w:tcPr>
            <w:tcW w:w="804" w:type="dxa"/>
            <w:tcBorders>
              <w:top w:val="single" w:sz="8" w:space="0" w:color="auto"/>
              <w:left w:val="single" w:sz="8" w:space="0" w:color="auto"/>
              <w:bottom w:val="single" w:sz="8" w:space="0" w:color="auto"/>
              <w:right w:val="nil"/>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34</w:t>
            </w:r>
          </w:p>
        </w:tc>
        <w:tc>
          <w:tcPr>
            <w:tcW w:w="2040" w:type="dxa"/>
            <w:tcBorders>
              <w:top w:val="single" w:sz="8" w:space="0" w:color="auto"/>
              <w:left w:val="single" w:sz="4" w:space="0" w:color="auto"/>
              <w:bottom w:val="single" w:sz="8" w:space="0" w:color="auto"/>
              <w:right w:val="single" w:sz="4"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Autres dettes</w:t>
            </w:r>
          </w:p>
        </w:tc>
        <w:tc>
          <w:tcPr>
            <w:tcW w:w="2393" w:type="dxa"/>
            <w:tcBorders>
              <w:top w:val="single" w:sz="8" w:space="0" w:color="auto"/>
              <w:left w:val="nil"/>
              <w:bottom w:val="single" w:sz="8" w:space="0" w:color="auto"/>
              <w:right w:val="nil"/>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119 614 961 982,90</w:t>
            </w:r>
          </w:p>
        </w:tc>
        <w:tc>
          <w:tcPr>
            <w:tcW w:w="2253" w:type="dxa"/>
            <w:tcBorders>
              <w:top w:val="single" w:sz="8" w:space="0" w:color="auto"/>
              <w:left w:val="single" w:sz="4" w:space="0" w:color="auto"/>
              <w:bottom w:val="single" w:sz="8" w:space="0" w:color="auto"/>
              <w:right w:val="nil"/>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153 992 856 999,54</w:t>
            </w:r>
          </w:p>
        </w:tc>
        <w:tc>
          <w:tcPr>
            <w:tcW w:w="2134" w:type="dxa"/>
            <w:tcBorders>
              <w:top w:val="single" w:sz="8" w:space="0" w:color="auto"/>
              <w:left w:val="single" w:sz="4" w:space="0" w:color="auto"/>
              <w:bottom w:val="single" w:sz="8" w:space="0" w:color="auto"/>
              <w:right w:val="single" w:sz="8"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157 630 903 223,41</w:t>
            </w:r>
          </w:p>
        </w:tc>
      </w:tr>
      <w:tr w:rsidR="003D2044" w:rsidRPr="00F319DE" w:rsidTr="001023D4">
        <w:trPr>
          <w:trHeight w:val="204"/>
        </w:trPr>
        <w:tc>
          <w:tcPr>
            <w:tcW w:w="804" w:type="dxa"/>
            <w:tcBorders>
              <w:top w:val="nil"/>
              <w:left w:val="single" w:sz="4" w:space="0" w:color="auto"/>
              <w:bottom w:val="single" w:sz="12" w:space="0" w:color="auto"/>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35</w:t>
            </w:r>
          </w:p>
        </w:tc>
        <w:tc>
          <w:tcPr>
            <w:tcW w:w="2040" w:type="dxa"/>
            <w:tcBorders>
              <w:top w:val="nil"/>
              <w:left w:val="single" w:sz="4" w:space="0" w:color="auto"/>
              <w:bottom w:val="single" w:sz="12" w:space="0" w:color="auto"/>
              <w:right w:val="single" w:sz="4"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Autres dettes à vue</w:t>
            </w:r>
          </w:p>
        </w:tc>
        <w:tc>
          <w:tcPr>
            <w:tcW w:w="2393" w:type="dxa"/>
            <w:tcBorders>
              <w:top w:val="nil"/>
              <w:left w:val="nil"/>
              <w:bottom w:val="nil"/>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119 614 961 982,90</w:t>
            </w:r>
          </w:p>
        </w:tc>
        <w:tc>
          <w:tcPr>
            <w:tcW w:w="2253" w:type="dxa"/>
            <w:tcBorders>
              <w:top w:val="nil"/>
              <w:left w:val="single" w:sz="4" w:space="0" w:color="auto"/>
              <w:bottom w:val="nil"/>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153 992 856 999,54</w:t>
            </w:r>
          </w:p>
        </w:tc>
        <w:tc>
          <w:tcPr>
            <w:tcW w:w="2134" w:type="dxa"/>
            <w:tcBorders>
              <w:top w:val="nil"/>
              <w:left w:val="single" w:sz="4" w:space="0" w:color="auto"/>
              <w:bottom w:val="nil"/>
              <w:right w:val="nil"/>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157 630 903 223,41</w:t>
            </w:r>
          </w:p>
        </w:tc>
      </w:tr>
      <w:tr w:rsidR="003D2044" w:rsidRPr="00F319DE" w:rsidTr="001023D4">
        <w:trPr>
          <w:trHeight w:val="204"/>
        </w:trPr>
        <w:tc>
          <w:tcPr>
            <w:tcW w:w="804" w:type="dxa"/>
            <w:tcBorders>
              <w:top w:val="nil"/>
              <w:left w:val="single" w:sz="12" w:space="0" w:color="auto"/>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36</w:t>
            </w:r>
          </w:p>
        </w:tc>
        <w:tc>
          <w:tcPr>
            <w:tcW w:w="2040" w:type="dxa"/>
            <w:tcBorders>
              <w:top w:val="nil"/>
              <w:left w:val="nil"/>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Autres dettes à terme</w:t>
            </w:r>
          </w:p>
        </w:tc>
        <w:tc>
          <w:tcPr>
            <w:tcW w:w="2393" w:type="dxa"/>
            <w:tcBorders>
              <w:top w:val="single" w:sz="12" w:space="0" w:color="auto"/>
              <w:left w:val="nil"/>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 </w:t>
            </w:r>
          </w:p>
        </w:tc>
        <w:tc>
          <w:tcPr>
            <w:tcW w:w="2253" w:type="dxa"/>
            <w:tcBorders>
              <w:top w:val="single" w:sz="12" w:space="0" w:color="auto"/>
              <w:left w:val="nil"/>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 </w:t>
            </w:r>
          </w:p>
        </w:tc>
        <w:tc>
          <w:tcPr>
            <w:tcW w:w="2134" w:type="dxa"/>
            <w:tcBorders>
              <w:top w:val="single" w:sz="12" w:space="0" w:color="auto"/>
              <w:left w:val="nil"/>
              <w:bottom w:val="nil"/>
              <w:right w:val="single" w:sz="12" w:space="0" w:color="auto"/>
            </w:tcBorders>
            <w:noWrap/>
            <w:vAlign w:val="center"/>
          </w:tcPr>
          <w:p w:rsidR="003D2044" w:rsidRPr="00F319DE" w:rsidRDefault="003D2044" w:rsidP="003D2044">
            <w:pPr>
              <w:spacing w:before="0" w:after="0" w:line="240" w:lineRule="auto"/>
              <w:ind w:firstLine="0"/>
              <w:jc w:val="center"/>
              <w:rPr>
                <w:rFonts w:eastAsia="Calibri" w:cs="Times New Roman"/>
                <w:color w:val="000000"/>
                <w:szCs w:val="24"/>
              </w:rPr>
            </w:pPr>
            <w:r w:rsidRPr="00F319DE">
              <w:rPr>
                <w:rFonts w:eastAsia="Calibri" w:cs="Times New Roman"/>
                <w:color w:val="000000"/>
                <w:szCs w:val="24"/>
              </w:rPr>
              <w:t> </w:t>
            </w:r>
          </w:p>
        </w:tc>
      </w:tr>
      <w:tr w:rsidR="003D2044" w:rsidRPr="00F319DE" w:rsidTr="001023D4">
        <w:trPr>
          <w:trHeight w:val="177"/>
        </w:trPr>
        <w:tc>
          <w:tcPr>
            <w:tcW w:w="804" w:type="dxa"/>
            <w:tcBorders>
              <w:top w:val="single" w:sz="8" w:space="0" w:color="auto"/>
              <w:left w:val="single" w:sz="8" w:space="0" w:color="auto"/>
              <w:bottom w:val="single" w:sz="8" w:space="0" w:color="auto"/>
              <w:right w:val="single" w:sz="4"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 </w:t>
            </w:r>
          </w:p>
        </w:tc>
        <w:tc>
          <w:tcPr>
            <w:tcW w:w="2040" w:type="dxa"/>
            <w:tcBorders>
              <w:top w:val="single" w:sz="8" w:space="0" w:color="auto"/>
              <w:left w:val="nil"/>
              <w:bottom w:val="single" w:sz="8" w:space="0" w:color="auto"/>
              <w:right w:val="single" w:sz="4"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TOTAL</w:t>
            </w:r>
          </w:p>
        </w:tc>
        <w:tc>
          <w:tcPr>
            <w:tcW w:w="2393" w:type="dxa"/>
            <w:tcBorders>
              <w:top w:val="single" w:sz="8" w:space="0" w:color="auto"/>
              <w:left w:val="nil"/>
              <w:bottom w:val="single" w:sz="8" w:space="0" w:color="auto"/>
              <w:right w:val="nil"/>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119 614 961 982,90</w:t>
            </w:r>
          </w:p>
        </w:tc>
        <w:tc>
          <w:tcPr>
            <w:tcW w:w="2253" w:type="dxa"/>
            <w:tcBorders>
              <w:top w:val="single" w:sz="8" w:space="0" w:color="auto"/>
              <w:left w:val="single" w:sz="4" w:space="0" w:color="auto"/>
              <w:bottom w:val="single" w:sz="8" w:space="0" w:color="auto"/>
              <w:right w:val="nil"/>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153 992 856 999,54</w:t>
            </w:r>
          </w:p>
        </w:tc>
        <w:tc>
          <w:tcPr>
            <w:tcW w:w="2134" w:type="dxa"/>
            <w:tcBorders>
              <w:top w:val="single" w:sz="8" w:space="0" w:color="auto"/>
              <w:left w:val="single" w:sz="4" w:space="0" w:color="auto"/>
              <w:bottom w:val="single" w:sz="8" w:space="0" w:color="auto"/>
              <w:right w:val="single" w:sz="8" w:space="0" w:color="auto"/>
            </w:tcBorders>
            <w:shd w:val="clear" w:color="000000" w:fill="808080"/>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157 630 903 223,41</w:t>
            </w:r>
          </w:p>
        </w:tc>
      </w:tr>
      <w:tr w:rsidR="003D2044" w:rsidRPr="00F319DE" w:rsidTr="001023D4">
        <w:trPr>
          <w:trHeight w:val="71"/>
        </w:trPr>
        <w:tc>
          <w:tcPr>
            <w:tcW w:w="804" w:type="dxa"/>
            <w:tcBorders>
              <w:top w:val="nil"/>
              <w:left w:val="single" w:sz="8" w:space="0" w:color="auto"/>
              <w:bottom w:val="single" w:sz="8" w:space="0" w:color="auto"/>
              <w:right w:val="single" w:sz="4" w:space="0" w:color="auto"/>
            </w:tcBorders>
            <w:shd w:val="clear" w:color="000000" w:fill="31869B"/>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 </w:t>
            </w:r>
          </w:p>
        </w:tc>
        <w:tc>
          <w:tcPr>
            <w:tcW w:w="2040" w:type="dxa"/>
            <w:tcBorders>
              <w:top w:val="nil"/>
              <w:left w:val="nil"/>
              <w:bottom w:val="single" w:sz="8" w:space="0" w:color="auto"/>
              <w:right w:val="single" w:sz="4" w:space="0" w:color="auto"/>
            </w:tcBorders>
            <w:shd w:val="clear" w:color="000000" w:fill="31869B"/>
            <w:noWrap/>
            <w:vAlign w:val="center"/>
          </w:tcPr>
          <w:p w:rsidR="003D2044" w:rsidRPr="00F319DE" w:rsidRDefault="003D2044" w:rsidP="00E96CB0">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 xml:space="preserve">Calcul du ratio </w:t>
            </w:r>
            <w:r w:rsidR="00E96CB0">
              <w:rPr>
                <w:rFonts w:eastAsia="Calibri" w:cs="Times New Roman"/>
                <w:b/>
                <w:bCs/>
                <w:color w:val="000000"/>
                <w:szCs w:val="24"/>
              </w:rPr>
              <w:t>dépôts/crédits</w:t>
            </w:r>
          </w:p>
        </w:tc>
        <w:tc>
          <w:tcPr>
            <w:tcW w:w="2393" w:type="dxa"/>
            <w:tcBorders>
              <w:top w:val="nil"/>
              <w:left w:val="nil"/>
              <w:bottom w:val="single" w:sz="8" w:space="0" w:color="auto"/>
              <w:right w:val="single" w:sz="4" w:space="0" w:color="auto"/>
            </w:tcBorders>
            <w:shd w:val="clear" w:color="000000" w:fill="31869B"/>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1,75</w:t>
            </w:r>
          </w:p>
        </w:tc>
        <w:tc>
          <w:tcPr>
            <w:tcW w:w="2253" w:type="dxa"/>
            <w:tcBorders>
              <w:top w:val="nil"/>
              <w:left w:val="nil"/>
              <w:bottom w:val="single" w:sz="8" w:space="0" w:color="auto"/>
              <w:right w:val="single" w:sz="4" w:space="0" w:color="auto"/>
            </w:tcBorders>
            <w:shd w:val="clear" w:color="000000" w:fill="31869B"/>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1,66</w:t>
            </w:r>
          </w:p>
        </w:tc>
        <w:tc>
          <w:tcPr>
            <w:tcW w:w="2134" w:type="dxa"/>
            <w:tcBorders>
              <w:top w:val="nil"/>
              <w:left w:val="nil"/>
              <w:bottom w:val="single" w:sz="8" w:space="0" w:color="auto"/>
              <w:right w:val="single" w:sz="8" w:space="0" w:color="auto"/>
            </w:tcBorders>
            <w:shd w:val="clear" w:color="000000" w:fill="31869B"/>
            <w:noWrap/>
            <w:vAlign w:val="center"/>
          </w:tcPr>
          <w:p w:rsidR="003D2044" w:rsidRPr="00F319DE" w:rsidRDefault="003D2044" w:rsidP="003D2044">
            <w:pPr>
              <w:spacing w:before="0" w:after="0" w:line="240" w:lineRule="auto"/>
              <w:ind w:firstLine="0"/>
              <w:jc w:val="center"/>
              <w:rPr>
                <w:rFonts w:eastAsia="Calibri" w:cs="Times New Roman"/>
                <w:b/>
                <w:bCs/>
                <w:color w:val="000000"/>
                <w:szCs w:val="24"/>
              </w:rPr>
            </w:pPr>
            <w:r w:rsidRPr="00F319DE">
              <w:rPr>
                <w:rFonts w:eastAsia="Calibri" w:cs="Times New Roman"/>
                <w:b/>
                <w:bCs/>
                <w:color w:val="000000"/>
                <w:szCs w:val="24"/>
              </w:rPr>
              <w:t>1,7</w:t>
            </w:r>
          </w:p>
        </w:tc>
      </w:tr>
    </w:tbl>
    <w:p w:rsidR="003D2044" w:rsidRPr="00381574" w:rsidRDefault="002724B2" w:rsidP="00E44A61">
      <w:pPr>
        <w:jc w:val="right"/>
        <w:rPr>
          <w:sz w:val="20"/>
          <w:szCs w:val="20"/>
        </w:rPr>
      </w:pPr>
      <w:r w:rsidRPr="00381574">
        <w:rPr>
          <w:sz w:val="20"/>
          <w:szCs w:val="20"/>
        </w:rPr>
        <w:t xml:space="preserve">Source : Réalisé par nous-mêmes, </w:t>
      </w:r>
      <w:r w:rsidR="00E44A61">
        <w:rPr>
          <w:sz w:val="20"/>
          <w:szCs w:val="20"/>
        </w:rPr>
        <w:t>en se basant sur</w:t>
      </w:r>
      <w:r w:rsidRPr="00381574">
        <w:rPr>
          <w:sz w:val="20"/>
          <w:szCs w:val="20"/>
        </w:rPr>
        <w:t xml:space="preserve"> </w:t>
      </w:r>
      <w:r w:rsidR="00E44A61">
        <w:rPr>
          <w:sz w:val="20"/>
          <w:szCs w:val="20"/>
        </w:rPr>
        <w:t>l</w:t>
      </w:r>
      <w:r w:rsidR="005608CB">
        <w:rPr>
          <w:sz w:val="20"/>
          <w:szCs w:val="20"/>
        </w:rPr>
        <w:t xml:space="preserve">es données </w:t>
      </w:r>
      <w:r w:rsidRPr="00381574">
        <w:rPr>
          <w:sz w:val="20"/>
          <w:szCs w:val="20"/>
        </w:rPr>
        <w:t xml:space="preserve">du rapport annuel </w:t>
      </w:r>
      <w:r w:rsidR="005B1556">
        <w:rPr>
          <w:sz w:val="20"/>
          <w:szCs w:val="20"/>
        </w:rPr>
        <w:t>de la BDL, 2012</w:t>
      </w:r>
      <w:r w:rsidR="00E96CB0">
        <w:rPr>
          <w:rStyle w:val="Appelnotedebasdep"/>
          <w:sz w:val="20"/>
          <w:szCs w:val="20"/>
        </w:rPr>
        <w:footnoteReference w:id="37"/>
      </w:r>
    </w:p>
    <w:p w:rsidR="00F319DE" w:rsidRDefault="00F319DE" w:rsidP="00F319DE"/>
    <w:p w:rsidR="00F319DE" w:rsidRPr="00F319DE" w:rsidRDefault="00F319DE" w:rsidP="00F319DE"/>
    <w:p w:rsidR="001D5E53" w:rsidRPr="00D15B2C" w:rsidRDefault="006517B5" w:rsidP="00060EA3">
      <w:pPr>
        <w:pStyle w:val="Titre4"/>
        <w:numPr>
          <w:ilvl w:val="0"/>
          <w:numId w:val="0"/>
        </w:numPr>
        <w:ind w:left="360"/>
      </w:pPr>
      <w:r>
        <w:lastRenderedPageBreak/>
        <w:t>4</w:t>
      </w:r>
      <w:r w:rsidR="00FB23A2">
        <w:t xml:space="preserve">.2.1.2 </w:t>
      </w:r>
      <w:r w:rsidR="001D5E53" w:rsidRPr="00D15B2C">
        <w:t xml:space="preserve"> Pour la banque étrangère (Société générale)</w:t>
      </w:r>
    </w:p>
    <w:p w:rsidR="001D5E53" w:rsidRPr="00D15B2C" w:rsidRDefault="001D5E53" w:rsidP="001D5E53">
      <w:pPr>
        <w:rPr>
          <w:b/>
          <w:bCs/>
          <w:szCs w:val="24"/>
        </w:rPr>
      </w:pPr>
      <w:r>
        <w:rPr>
          <w:b/>
          <w:bCs/>
          <w:szCs w:val="24"/>
        </w:rPr>
        <w:t>Tableau n°11</w:t>
      </w:r>
      <w:r w:rsidRPr="00D15B2C">
        <w:rPr>
          <w:b/>
          <w:bCs/>
          <w:szCs w:val="24"/>
        </w:rPr>
        <w:t xml:space="preserve"> : Calcul du ratio </w:t>
      </w:r>
      <w:r w:rsidR="00D41EFB">
        <w:rPr>
          <w:b/>
          <w:bCs/>
          <w:szCs w:val="24"/>
        </w:rPr>
        <w:t>dépôts</w:t>
      </w:r>
      <w:r w:rsidRPr="00D15B2C">
        <w:rPr>
          <w:b/>
          <w:bCs/>
          <w:szCs w:val="24"/>
        </w:rPr>
        <w:t>/</w:t>
      </w:r>
      <w:r w:rsidR="00D41EFB">
        <w:rPr>
          <w:b/>
          <w:bCs/>
          <w:szCs w:val="24"/>
        </w:rPr>
        <w:t>crédits</w:t>
      </w:r>
      <w:r w:rsidRPr="00D15B2C">
        <w:rPr>
          <w:b/>
          <w:bCs/>
          <w:szCs w:val="24"/>
        </w:rPr>
        <w:t xml:space="preserve"> de la société générale</w:t>
      </w:r>
      <w:r>
        <w:rPr>
          <w:b/>
          <w:bCs/>
          <w:szCs w:val="24"/>
        </w:rPr>
        <w:t xml:space="preserve">. </w:t>
      </w:r>
    </w:p>
    <w:tbl>
      <w:tblPr>
        <w:tblW w:w="8236" w:type="dxa"/>
        <w:jc w:val="center"/>
        <w:tblCellMar>
          <w:left w:w="70" w:type="dxa"/>
          <w:right w:w="70" w:type="dxa"/>
        </w:tblCellMar>
        <w:tblLook w:val="00A0" w:firstRow="1" w:lastRow="0" w:firstColumn="1" w:lastColumn="0" w:noHBand="0" w:noVBand="0"/>
      </w:tblPr>
      <w:tblGrid>
        <w:gridCol w:w="5726"/>
        <w:gridCol w:w="1276"/>
        <w:gridCol w:w="1234"/>
      </w:tblGrid>
      <w:tr w:rsidR="001D5E53" w:rsidRPr="007D646F" w:rsidTr="00060EA3">
        <w:trPr>
          <w:trHeight w:val="394"/>
          <w:jc w:val="center"/>
        </w:trPr>
        <w:tc>
          <w:tcPr>
            <w:tcW w:w="8236" w:type="dxa"/>
            <w:gridSpan w:val="3"/>
            <w:tcBorders>
              <w:top w:val="single" w:sz="4" w:space="0" w:color="auto"/>
              <w:left w:val="single" w:sz="4" w:space="0" w:color="auto"/>
              <w:bottom w:val="nil"/>
              <w:right w:val="single" w:sz="4" w:space="0" w:color="000000"/>
            </w:tcBorders>
            <w:shd w:val="clear" w:color="000000" w:fill="31869B"/>
            <w:noWrap/>
            <w:vAlign w:val="center"/>
          </w:tcPr>
          <w:p w:rsidR="001D5E53" w:rsidRPr="00D15B2C" w:rsidRDefault="009F5D36" w:rsidP="00060EA3">
            <w:pPr>
              <w:spacing w:line="240" w:lineRule="auto"/>
              <w:jc w:val="center"/>
            </w:pPr>
            <w:r>
              <w:t xml:space="preserve">Emplois </w:t>
            </w:r>
          </w:p>
        </w:tc>
      </w:tr>
      <w:tr w:rsidR="001D5E53" w:rsidRPr="007D646F" w:rsidTr="00060EA3">
        <w:trPr>
          <w:trHeight w:val="368"/>
          <w:jc w:val="center"/>
        </w:trPr>
        <w:tc>
          <w:tcPr>
            <w:tcW w:w="5726" w:type="dxa"/>
            <w:tcBorders>
              <w:top w:val="single" w:sz="4" w:space="0" w:color="auto"/>
              <w:left w:val="single" w:sz="4" w:space="0" w:color="auto"/>
              <w:bottom w:val="single" w:sz="4" w:space="0" w:color="auto"/>
              <w:right w:val="single" w:sz="4" w:space="0" w:color="auto"/>
            </w:tcBorders>
            <w:noWrap/>
            <w:vAlign w:val="center"/>
          </w:tcPr>
          <w:p w:rsidR="001D5E53" w:rsidRPr="00D15B2C" w:rsidRDefault="001D5E53" w:rsidP="00060EA3">
            <w:pPr>
              <w:spacing w:before="0" w:after="0" w:line="240" w:lineRule="auto"/>
              <w:rPr>
                <w:rFonts w:cs="Times New Roman"/>
                <w:color w:val="000000"/>
              </w:rPr>
            </w:pPr>
            <w:r w:rsidRPr="00D15B2C">
              <w:rPr>
                <w:rFonts w:cs="Times New Roman"/>
                <w:color w:val="000000"/>
              </w:rPr>
              <w:t> </w:t>
            </w:r>
          </w:p>
        </w:tc>
        <w:tc>
          <w:tcPr>
            <w:tcW w:w="1276" w:type="dxa"/>
            <w:tcBorders>
              <w:top w:val="single" w:sz="4" w:space="0" w:color="auto"/>
              <w:left w:val="nil"/>
              <w:bottom w:val="single" w:sz="4" w:space="0" w:color="auto"/>
              <w:right w:val="single" w:sz="4" w:space="0" w:color="auto"/>
            </w:tcBorders>
            <w:noWrap/>
            <w:vAlign w:val="center"/>
          </w:tcPr>
          <w:p w:rsidR="001D5E53" w:rsidRPr="00D15B2C" w:rsidRDefault="001D5E53" w:rsidP="00060EA3">
            <w:pPr>
              <w:spacing w:before="0" w:after="0" w:line="240" w:lineRule="auto"/>
              <w:ind w:firstLine="23"/>
              <w:jc w:val="center"/>
              <w:rPr>
                <w:rFonts w:cs="Times New Roman"/>
                <w:b/>
                <w:bCs/>
                <w:color w:val="000000"/>
                <w:szCs w:val="24"/>
              </w:rPr>
            </w:pPr>
            <w:r w:rsidRPr="00D15B2C">
              <w:rPr>
                <w:rFonts w:cs="Times New Roman"/>
                <w:b/>
                <w:bCs/>
                <w:color w:val="000000"/>
                <w:szCs w:val="24"/>
              </w:rPr>
              <w:t>2013</w:t>
            </w:r>
          </w:p>
        </w:tc>
        <w:tc>
          <w:tcPr>
            <w:tcW w:w="1234" w:type="dxa"/>
            <w:tcBorders>
              <w:top w:val="single" w:sz="4" w:space="0" w:color="auto"/>
              <w:left w:val="nil"/>
              <w:bottom w:val="single" w:sz="4" w:space="0" w:color="auto"/>
              <w:right w:val="single" w:sz="4" w:space="0" w:color="auto"/>
            </w:tcBorders>
            <w:noWrap/>
            <w:vAlign w:val="center"/>
          </w:tcPr>
          <w:p w:rsidR="001D5E53" w:rsidRPr="00D15B2C" w:rsidRDefault="001D5E53" w:rsidP="00060EA3">
            <w:pPr>
              <w:spacing w:before="0" w:after="0" w:line="240" w:lineRule="auto"/>
              <w:ind w:firstLine="23"/>
              <w:jc w:val="center"/>
              <w:rPr>
                <w:rFonts w:cs="Times New Roman"/>
                <w:b/>
                <w:bCs/>
                <w:color w:val="000000"/>
                <w:szCs w:val="24"/>
              </w:rPr>
            </w:pPr>
            <w:r w:rsidRPr="00D15B2C">
              <w:rPr>
                <w:rFonts w:cs="Times New Roman"/>
                <w:b/>
                <w:bCs/>
                <w:color w:val="000000"/>
                <w:szCs w:val="24"/>
              </w:rPr>
              <w:t>2014</w:t>
            </w:r>
          </w:p>
        </w:tc>
      </w:tr>
      <w:tr w:rsidR="001D5E53" w:rsidRPr="007D646F" w:rsidTr="00060EA3">
        <w:trPr>
          <w:trHeight w:val="538"/>
          <w:jc w:val="center"/>
        </w:trPr>
        <w:tc>
          <w:tcPr>
            <w:tcW w:w="5726" w:type="dxa"/>
            <w:tcBorders>
              <w:top w:val="nil"/>
              <w:left w:val="single" w:sz="4" w:space="0" w:color="auto"/>
              <w:bottom w:val="single" w:sz="4" w:space="0" w:color="auto"/>
              <w:right w:val="single" w:sz="4" w:space="0" w:color="auto"/>
            </w:tcBorders>
            <w:noWrap/>
            <w:vAlign w:val="center"/>
          </w:tcPr>
          <w:p w:rsidR="001D5E53" w:rsidRPr="00D15B2C" w:rsidRDefault="001D5E53" w:rsidP="00060EA3">
            <w:pPr>
              <w:spacing w:before="0" w:after="0" w:line="240" w:lineRule="auto"/>
              <w:ind w:firstLine="79"/>
              <w:rPr>
                <w:rFonts w:cs="Times New Roman"/>
                <w:b/>
                <w:bCs/>
                <w:color w:val="000000"/>
                <w:szCs w:val="24"/>
              </w:rPr>
            </w:pPr>
            <w:r w:rsidRPr="00D15B2C">
              <w:rPr>
                <w:rFonts w:cs="Times New Roman"/>
                <w:b/>
                <w:bCs/>
                <w:color w:val="000000"/>
                <w:szCs w:val="24"/>
              </w:rPr>
              <w:t>Prêts et créances sur établissements de crédits</w:t>
            </w:r>
          </w:p>
        </w:tc>
        <w:tc>
          <w:tcPr>
            <w:tcW w:w="1276"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ind w:firstLine="79"/>
              <w:jc w:val="center"/>
              <w:rPr>
                <w:rFonts w:cs="Times New Roman"/>
                <w:b/>
                <w:bCs/>
                <w:color w:val="000000"/>
                <w:szCs w:val="24"/>
              </w:rPr>
            </w:pPr>
            <w:r w:rsidRPr="00D15B2C">
              <w:rPr>
                <w:rFonts w:cs="Times New Roman"/>
                <w:b/>
                <w:bCs/>
                <w:color w:val="000000"/>
                <w:szCs w:val="24"/>
              </w:rPr>
              <w:t>75,4</w:t>
            </w:r>
          </w:p>
        </w:tc>
        <w:tc>
          <w:tcPr>
            <w:tcW w:w="1234"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ind w:firstLine="79"/>
              <w:jc w:val="center"/>
              <w:rPr>
                <w:rFonts w:cs="Times New Roman"/>
                <w:b/>
                <w:bCs/>
                <w:color w:val="000000"/>
                <w:szCs w:val="24"/>
              </w:rPr>
            </w:pPr>
            <w:r w:rsidRPr="00D15B2C">
              <w:rPr>
                <w:rFonts w:cs="Times New Roman"/>
                <w:b/>
                <w:bCs/>
                <w:color w:val="000000"/>
                <w:szCs w:val="24"/>
              </w:rPr>
              <w:t>80,7</w:t>
            </w:r>
          </w:p>
        </w:tc>
      </w:tr>
      <w:tr w:rsidR="001D5E53" w:rsidRPr="007D646F" w:rsidTr="00060EA3">
        <w:trPr>
          <w:trHeight w:val="429"/>
          <w:jc w:val="center"/>
        </w:trPr>
        <w:tc>
          <w:tcPr>
            <w:tcW w:w="5726" w:type="dxa"/>
            <w:tcBorders>
              <w:top w:val="nil"/>
              <w:left w:val="single" w:sz="4" w:space="0" w:color="auto"/>
              <w:bottom w:val="single" w:sz="4" w:space="0" w:color="auto"/>
              <w:right w:val="single" w:sz="4" w:space="0" w:color="auto"/>
            </w:tcBorders>
            <w:noWrap/>
            <w:vAlign w:val="center"/>
          </w:tcPr>
          <w:p w:rsidR="001D5E53" w:rsidRPr="00D15B2C" w:rsidRDefault="001D5E53" w:rsidP="00060EA3">
            <w:pPr>
              <w:spacing w:before="0" w:after="0" w:line="240" w:lineRule="auto"/>
              <w:ind w:firstLine="79"/>
              <w:rPr>
                <w:rFonts w:cs="Times New Roman"/>
                <w:b/>
                <w:bCs/>
                <w:color w:val="000000"/>
                <w:szCs w:val="24"/>
              </w:rPr>
            </w:pPr>
            <w:r w:rsidRPr="00D15B2C">
              <w:rPr>
                <w:rFonts w:cs="Times New Roman"/>
                <w:b/>
                <w:bCs/>
                <w:color w:val="000000"/>
                <w:szCs w:val="24"/>
              </w:rPr>
              <w:t>Prêts et créances sur la clientèle</w:t>
            </w:r>
          </w:p>
        </w:tc>
        <w:tc>
          <w:tcPr>
            <w:tcW w:w="1276"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ind w:firstLine="79"/>
              <w:jc w:val="center"/>
              <w:rPr>
                <w:rFonts w:cs="Times New Roman"/>
                <w:b/>
                <w:bCs/>
                <w:color w:val="000000"/>
                <w:szCs w:val="24"/>
              </w:rPr>
            </w:pPr>
            <w:r w:rsidRPr="00D15B2C">
              <w:rPr>
                <w:rFonts w:cs="Times New Roman"/>
                <w:b/>
                <w:bCs/>
                <w:color w:val="000000"/>
                <w:szCs w:val="24"/>
              </w:rPr>
              <w:t>332,7</w:t>
            </w:r>
          </w:p>
        </w:tc>
        <w:tc>
          <w:tcPr>
            <w:tcW w:w="1234"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ind w:firstLine="79"/>
              <w:jc w:val="center"/>
              <w:rPr>
                <w:rFonts w:cs="Times New Roman"/>
                <w:b/>
                <w:bCs/>
                <w:color w:val="000000"/>
                <w:szCs w:val="24"/>
              </w:rPr>
            </w:pPr>
            <w:r w:rsidRPr="00D15B2C">
              <w:rPr>
                <w:rFonts w:cs="Times New Roman"/>
                <w:b/>
                <w:bCs/>
                <w:color w:val="000000"/>
                <w:szCs w:val="24"/>
              </w:rPr>
              <w:t>344,4</w:t>
            </w:r>
          </w:p>
        </w:tc>
      </w:tr>
      <w:tr w:rsidR="001D5E53" w:rsidRPr="007D646F" w:rsidTr="00060EA3">
        <w:trPr>
          <w:trHeight w:val="409"/>
          <w:jc w:val="center"/>
        </w:trPr>
        <w:tc>
          <w:tcPr>
            <w:tcW w:w="5726" w:type="dxa"/>
            <w:tcBorders>
              <w:top w:val="nil"/>
              <w:left w:val="single" w:sz="4" w:space="0" w:color="auto"/>
              <w:bottom w:val="single" w:sz="4" w:space="0" w:color="auto"/>
              <w:right w:val="single" w:sz="4" w:space="0" w:color="auto"/>
            </w:tcBorders>
            <w:noWrap/>
            <w:vAlign w:val="center"/>
          </w:tcPr>
          <w:p w:rsidR="001D5E53" w:rsidRPr="00D15B2C" w:rsidRDefault="001D5E53" w:rsidP="00060EA3">
            <w:pPr>
              <w:spacing w:before="0" w:after="0" w:line="240" w:lineRule="auto"/>
              <w:ind w:firstLine="79"/>
              <w:rPr>
                <w:rFonts w:cs="Times New Roman"/>
                <w:b/>
                <w:bCs/>
                <w:color w:val="000000"/>
                <w:szCs w:val="24"/>
              </w:rPr>
            </w:pPr>
            <w:r w:rsidRPr="00D15B2C">
              <w:rPr>
                <w:rFonts w:cs="Times New Roman"/>
                <w:b/>
                <w:bCs/>
                <w:color w:val="000000"/>
                <w:szCs w:val="24"/>
              </w:rPr>
              <w:t>Total de l'actif</w:t>
            </w:r>
          </w:p>
        </w:tc>
        <w:tc>
          <w:tcPr>
            <w:tcW w:w="1276"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ind w:firstLine="79"/>
              <w:jc w:val="center"/>
              <w:rPr>
                <w:rFonts w:cs="Times New Roman"/>
                <w:b/>
                <w:bCs/>
                <w:color w:val="000000"/>
                <w:szCs w:val="24"/>
              </w:rPr>
            </w:pPr>
            <w:r w:rsidRPr="00D15B2C">
              <w:rPr>
                <w:rFonts w:cs="Times New Roman"/>
                <w:b/>
                <w:bCs/>
                <w:color w:val="000000"/>
                <w:szCs w:val="24"/>
              </w:rPr>
              <w:t>408,1</w:t>
            </w:r>
          </w:p>
        </w:tc>
        <w:tc>
          <w:tcPr>
            <w:tcW w:w="1234"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ind w:firstLine="79"/>
              <w:jc w:val="center"/>
              <w:rPr>
                <w:rFonts w:cs="Times New Roman"/>
                <w:b/>
                <w:bCs/>
                <w:color w:val="000000"/>
                <w:szCs w:val="24"/>
              </w:rPr>
            </w:pPr>
            <w:r w:rsidRPr="00D15B2C">
              <w:rPr>
                <w:rFonts w:cs="Times New Roman"/>
                <w:b/>
                <w:bCs/>
                <w:color w:val="000000"/>
                <w:szCs w:val="24"/>
              </w:rPr>
              <w:t>425,1</w:t>
            </w:r>
          </w:p>
        </w:tc>
      </w:tr>
      <w:tr w:rsidR="001D5E53" w:rsidRPr="007D646F" w:rsidTr="00060EA3">
        <w:trPr>
          <w:trHeight w:val="586"/>
          <w:jc w:val="center"/>
        </w:trPr>
        <w:tc>
          <w:tcPr>
            <w:tcW w:w="8236" w:type="dxa"/>
            <w:gridSpan w:val="3"/>
            <w:tcBorders>
              <w:top w:val="single" w:sz="4" w:space="0" w:color="auto"/>
              <w:left w:val="single" w:sz="4" w:space="0" w:color="auto"/>
              <w:bottom w:val="single" w:sz="4" w:space="0" w:color="auto"/>
              <w:right w:val="single" w:sz="4" w:space="0" w:color="000000"/>
            </w:tcBorders>
            <w:shd w:val="clear" w:color="000000" w:fill="31869B"/>
            <w:noWrap/>
            <w:vAlign w:val="center"/>
          </w:tcPr>
          <w:p w:rsidR="001D5E53" w:rsidRPr="00BD18EC" w:rsidRDefault="00E96CB0" w:rsidP="00060EA3">
            <w:pPr>
              <w:spacing w:before="0" w:after="0" w:line="240" w:lineRule="auto"/>
              <w:jc w:val="center"/>
              <w:rPr>
                <w:rFonts w:cs="Times New Roman"/>
                <w:bCs/>
                <w:color w:val="000000"/>
                <w:szCs w:val="24"/>
              </w:rPr>
            </w:pPr>
            <w:r>
              <w:rPr>
                <w:rFonts w:cs="Times New Roman"/>
                <w:bCs/>
                <w:color w:val="000000"/>
                <w:szCs w:val="24"/>
              </w:rPr>
              <w:t>R</w:t>
            </w:r>
            <w:r w:rsidR="009F5D36">
              <w:rPr>
                <w:rFonts w:cs="Times New Roman"/>
                <w:bCs/>
                <w:color w:val="000000"/>
                <w:szCs w:val="24"/>
              </w:rPr>
              <w:t>essources</w:t>
            </w:r>
          </w:p>
        </w:tc>
      </w:tr>
      <w:tr w:rsidR="001D5E53" w:rsidRPr="007D646F" w:rsidTr="00060EA3">
        <w:trPr>
          <w:trHeight w:val="396"/>
          <w:jc w:val="center"/>
        </w:trPr>
        <w:tc>
          <w:tcPr>
            <w:tcW w:w="5726" w:type="dxa"/>
            <w:tcBorders>
              <w:top w:val="nil"/>
              <w:left w:val="single" w:sz="4" w:space="0" w:color="auto"/>
              <w:bottom w:val="single" w:sz="4" w:space="0" w:color="auto"/>
              <w:right w:val="single" w:sz="4" w:space="0" w:color="auto"/>
            </w:tcBorders>
            <w:noWrap/>
            <w:vAlign w:val="center"/>
          </w:tcPr>
          <w:p w:rsidR="001D5E53" w:rsidRPr="00D15B2C" w:rsidRDefault="001D5E53" w:rsidP="00060EA3">
            <w:pPr>
              <w:spacing w:before="0" w:after="0" w:line="240" w:lineRule="auto"/>
              <w:rPr>
                <w:rFonts w:cs="Times New Roman"/>
                <w:b/>
                <w:bCs/>
                <w:color w:val="000000"/>
                <w:szCs w:val="24"/>
              </w:rPr>
            </w:pPr>
            <w:r w:rsidRPr="00D15B2C">
              <w:rPr>
                <w:rFonts w:cs="Times New Roman"/>
                <w:b/>
                <w:bCs/>
                <w:color w:val="000000"/>
                <w:szCs w:val="24"/>
              </w:rPr>
              <w:t>Dettes envers les établissements de crédits</w:t>
            </w:r>
          </w:p>
        </w:tc>
        <w:tc>
          <w:tcPr>
            <w:tcW w:w="1276"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86,8</w:t>
            </w:r>
          </w:p>
        </w:tc>
        <w:tc>
          <w:tcPr>
            <w:tcW w:w="1234"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91,3</w:t>
            </w:r>
          </w:p>
        </w:tc>
      </w:tr>
      <w:tr w:rsidR="001D5E53" w:rsidRPr="007D646F" w:rsidTr="00060EA3">
        <w:trPr>
          <w:trHeight w:val="402"/>
          <w:jc w:val="center"/>
        </w:trPr>
        <w:tc>
          <w:tcPr>
            <w:tcW w:w="5726" w:type="dxa"/>
            <w:tcBorders>
              <w:top w:val="nil"/>
              <w:left w:val="single" w:sz="4" w:space="0" w:color="auto"/>
              <w:bottom w:val="single" w:sz="4" w:space="0" w:color="auto"/>
              <w:right w:val="single" w:sz="4" w:space="0" w:color="auto"/>
            </w:tcBorders>
            <w:noWrap/>
            <w:vAlign w:val="center"/>
          </w:tcPr>
          <w:p w:rsidR="001D5E53" w:rsidRPr="00D15B2C" w:rsidRDefault="001D5E53" w:rsidP="00060EA3">
            <w:pPr>
              <w:spacing w:before="0" w:after="0" w:line="240" w:lineRule="auto"/>
              <w:rPr>
                <w:rFonts w:cs="Times New Roman"/>
                <w:b/>
                <w:bCs/>
                <w:color w:val="000000"/>
                <w:szCs w:val="24"/>
              </w:rPr>
            </w:pPr>
            <w:r w:rsidRPr="00D15B2C">
              <w:rPr>
                <w:rFonts w:cs="Times New Roman"/>
                <w:b/>
                <w:bCs/>
                <w:color w:val="000000"/>
                <w:szCs w:val="24"/>
              </w:rPr>
              <w:t>Dettes envers la clientèle</w:t>
            </w:r>
          </w:p>
        </w:tc>
        <w:tc>
          <w:tcPr>
            <w:tcW w:w="1276"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334,2</w:t>
            </w:r>
          </w:p>
        </w:tc>
        <w:tc>
          <w:tcPr>
            <w:tcW w:w="1234"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349,7</w:t>
            </w:r>
          </w:p>
        </w:tc>
      </w:tr>
      <w:tr w:rsidR="001D5E53" w:rsidRPr="007D646F" w:rsidTr="00060EA3">
        <w:trPr>
          <w:trHeight w:val="421"/>
          <w:jc w:val="center"/>
        </w:trPr>
        <w:tc>
          <w:tcPr>
            <w:tcW w:w="5726" w:type="dxa"/>
            <w:tcBorders>
              <w:top w:val="nil"/>
              <w:left w:val="single" w:sz="4" w:space="0" w:color="auto"/>
              <w:bottom w:val="single" w:sz="4" w:space="0" w:color="auto"/>
              <w:right w:val="single" w:sz="4" w:space="0" w:color="auto"/>
            </w:tcBorders>
            <w:noWrap/>
            <w:vAlign w:val="center"/>
          </w:tcPr>
          <w:p w:rsidR="001D5E53" w:rsidRPr="00D15B2C" w:rsidRDefault="001D5E53" w:rsidP="00060EA3">
            <w:pPr>
              <w:spacing w:before="0" w:after="0" w:line="240" w:lineRule="auto"/>
              <w:rPr>
                <w:rFonts w:cs="Times New Roman"/>
                <w:b/>
                <w:bCs/>
                <w:color w:val="000000"/>
                <w:szCs w:val="24"/>
              </w:rPr>
            </w:pPr>
            <w:r w:rsidRPr="00D15B2C">
              <w:rPr>
                <w:rFonts w:cs="Times New Roman"/>
                <w:b/>
                <w:bCs/>
                <w:color w:val="000000"/>
                <w:szCs w:val="24"/>
              </w:rPr>
              <w:t>Total du passif</w:t>
            </w:r>
          </w:p>
        </w:tc>
        <w:tc>
          <w:tcPr>
            <w:tcW w:w="1276"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421</w:t>
            </w:r>
          </w:p>
        </w:tc>
        <w:tc>
          <w:tcPr>
            <w:tcW w:w="1234"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441</w:t>
            </w:r>
          </w:p>
        </w:tc>
      </w:tr>
      <w:tr w:rsidR="001D5E53" w:rsidRPr="007D646F" w:rsidTr="00060EA3">
        <w:trPr>
          <w:trHeight w:val="413"/>
          <w:jc w:val="center"/>
        </w:trPr>
        <w:tc>
          <w:tcPr>
            <w:tcW w:w="5726" w:type="dxa"/>
            <w:tcBorders>
              <w:top w:val="nil"/>
              <w:left w:val="single" w:sz="4" w:space="0" w:color="auto"/>
              <w:bottom w:val="single" w:sz="4" w:space="0" w:color="auto"/>
              <w:right w:val="single" w:sz="4" w:space="0" w:color="auto"/>
            </w:tcBorders>
            <w:shd w:val="clear" w:color="000000" w:fill="31869B"/>
            <w:noWrap/>
            <w:vAlign w:val="center"/>
          </w:tcPr>
          <w:p w:rsidR="001D5E53" w:rsidRPr="00D15B2C" w:rsidRDefault="001D5E53" w:rsidP="00060EA3">
            <w:pPr>
              <w:spacing w:before="0" w:after="0" w:line="240" w:lineRule="auto"/>
              <w:rPr>
                <w:rFonts w:cs="Times New Roman"/>
                <w:b/>
                <w:bCs/>
                <w:color w:val="000000"/>
                <w:szCs w:val="24"/>
              </w:rPr>
            </w:pPr>
            <w:r w:rsidRPr="00D15B2C">
              <w:rPr>
                <w:rFonts w:cs="Times New Roman"/>
                <w:b/>
                <w:bCs/>
                <w:color w:val="000000"/>
                <w:szCs w:val="24"/>
              </w:rPr>
              <w:t>Calcul du ratio</w:t>
            </w:r>
          </w:p>
        </w:tc>
        <w:tc>
          <w:tcPr>
            <w:tcW w:w="1276" w:type="dxa"/>
            <w:tcBorders>
              <w:top w:val="nil"/>
              <w:left w:val="nil"/>
              <w:bottom w:val="single" w:sz="4" w:space="0" w:color="auto"/>
              <w:right w:val="single" w:sz="4" w:space="0" w:color="auto"/>
            </w:tcBorders>
            <w:shd w:val="clear" w:color="000000" w:fill="31869B"/>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0,96</w:t>
            </w:r>
          </w:p>
        </w:tc>
        <w:tc>
          <w:tcPr>
            <w:tcW w:w="1234" w:type="dxa"/>
            <w:tcBorders>
              <w:top w:val="nil"/>
              <w:left w:val="nil"/>
              <w:bottom w:val="single" w:sz="4" w:space="0" w:color="auto"/>
              <w:right w:val="single" w:sz="4" w:space="0" w:color="auto"/>
            </w:tcBorders>
            <w:shd w:val="clear" w:color="000000" w:fill="31869B"/>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0,96</w:t>
            </w:r>
          </w:p>
        </w:tc>
      </w:tr>
    </w:tbl>
    <w:p w:rsidR="006B7615" w:rsidRPr="00381574" w:rsidRDefault="002724B2" w:rsidP="00381574">
      <w:pPr>
        <w:jc w:val="center"/>
        <w:rPr>
          <w:sz w:val="20"/>
          <w:szCs w:val="20"/>
        </w:rPr>
      </w:pPr>
      <w:r w:rsidRPr="00381574">
        <w:rPr>
          <w:sz w:val="20"/>
          <w:szCs w:val="20"/>
        </w:rPr>
        <w:t>Source : Réalisé par nous-mêmes, inspiré du rapport annuel de Société générale, 2015.</w:t>
      </w:r>
      <w:r w:rsidR="00E96CB0">
        <w:rPr>
          <w:rStyle w:val="Appelnotedebasdep"/>
          <w:sz w:val="20"/>
          <w:szCs w:val="20"/>
        </w:rPr>
        <w:footnoteReference w:id="38"/>
      </w:r>
    </w:p>
    <w:p w:rsidR="00F319DE" w:rsidRDefault="00F319DE" w:rsidP="00664FFF"/>
    <w:p w:rsidR="00381574" w:rsidRDefault="001D5E53" w:rsidP="00664FFF">
      <w:r w:rsidRPr="00AF579A">
        <w:t xml:space="preserve">Après le calcul du ratio en question des deux banques, </w:t>
      </w:r>
      <w:r>
        <w:t xml:space="preserve">nous avons trouvé 0,96 pour la Société Générale pendant les deux années de référence, un ratio très proche de 1, et cela signifie qu’il y a un équilibre entre les ressources collectées par la banque et les crédits qu’elle </w:t>
      </w:r>
      <w:r w:rsidR="00AC2B20">
        <w:t>octroi. Par</w:t>
      </w:r>
      <w:r>
        <w:t xml:space="preserve"> contre, nous remarquons que le même ratio est supérieur à 1 dans la BDL, ce qui signifie que cette banque reçoit des fonds plus que ce qu’elle octroi, et cette situation implique une accumulation de liquidité dans ses coffres, qui la caractérise comme une banque </w:t>
      </w:r>
      <w:proofErr w:type="spellStart"/>
      <w:r w:rsidR="009F5D36">
        <w:t>surliquide</w:t>
      </w:r>
      <w:proofErr w:type="spellEnd"/>
      <w:r>
        <w:t xml:space="preserve">, du moins pendant les années de références. </w:t>
      </w:r>
    </w:p>
    <w:p w:rsidR="003D2044" w:rsidRDefault="003D2044" w:rsidP="006517B5">
      <w:pPr>
        <w:pStyle w:val="Titre3"/>
        <w:numPr>
          <w:ilvl w:val="2"/>
          <w:numId w:val="46"/>
        </w:numPr>
      </w:pPr>
      <w:bookmarkStart w:id="75" w:name="_Toc431980021"/>
      <w:r w:rsidRPr="00D15B2C">
        <w:t>Présentation des ratios prudentiels</w:t>
      </w:r>
      <w:r>
        <w:t xml:space="preserve"> (ratios réglementaires) </w:t>
      </w:r>
      <w:bookmarkEnd w:id="75"/>
    </w:p>
    <w:p w:rsidR="001D5E53" w:rsidRPr="00625D37" w:rsidRDefault="001D5E53" w:rsidP="003D2044">
      <w:pPr>
        <w:rPr>
          <w:rFonts w:cs="Times New Roman"/>
          <w:szCs w:val="24"/>
        </w:rPr>
      </w:pPr>
      <w:r>
        <w:rPr>
          <w:rFonts w:cs="Times New Roman"/>
          <w:szCs w:val="24"/>
        </w:rPr>
        <w:t xml:space="preserve">Dans les tableaux </w:t>
      </w:r>
      <w:r w:rsidRPr="003D2044">
        <w:rPr>
          <w:rFonts w:cs="Times New Roman"/>
          <w:szCs w:val="24"/>
        </w:rPr>
        <w:t>n°1</w:t>
      </w:r>
      <w:r w:rsidR="003D2044" w:rsidRPr="003D2044">
        <w:rPr>
          <w:rFonts w:cs="Times New Roman"/>
          <w:szCs w:val="24"/>
        </w:rPr>
        <w:t>0</w:t>
      </w:r>
      <w:r w:rsidRPr="003D2044">
        <w:rPr>
          <w:rFonts w:cs="Times New Roman"/>
          <w:szCs w:val="24"/>
        </w:rPr>
        <w:t xml:space="preserve"> et n°1</w:t>
      </w:r>
      <w:r w:rsidR="003D2044">
        <w:rPr>
          <w:rFonts w:cs="Times New Roman"/>
          <w:szCs w:val="24"/>
        </w:rPr>
        <w:t>1</w:t>
      </w:r>
      <w:r>
        <w:rPr>
          <w:rFonts w:cs="Times New Roman"/>
          <w:szCs w:val="24"/>
        </w:rPr>
        <w:t>, nous présenterons les ratios prudentiels pour les deux banques de référence, afin d’en tirer une conclusion sur la situation de la liquidité en Algérie.</w:t>
      </w:r>
    </w:p>
    <w:p w:rsidR="006023F3" w:rsidRDefault="006023F3" w:rsidP="002724B2">
      <w:pPr>
        <w:pStyle w:val="Titre4"/>
        <w:numPr>
          <w:ilvl w:val="0"/>
          <w:numId w:val="0"/>
        </w:numPr>
        <w:ind w:left="360"/>
      </w:pPr>
    </w:p>
    <w:p w:rsidR="006023F3" w:rsidRPr="006023F3" w:rsidRDefault="006023F3" w:rsidP="006023F3"/>
    <w:p w:rsidR="002724B2" w:rsidRPr="00D15B2C" w:rsidRDefault="006517B5" w:rsidP="002724B2">
      <w:pPr>
        <w:pStyle w:val="Titre4"/>
        <w:numPr>
          <w:ilvl w:val="0"/>
          <w:numId w:val="0"/>
        </w:numPr>
        <w:ind w:left="360"/>
      </w:pPr>
      <w:r>
        <w:lastRenderedPageBreak/>
        <w:t>4</w:t>
      </w:r>
      <w:r w:rsidR="00FB23A2">
        <w:t xml:space="preserve">.2.2.1 </w:t>
      </w:r>
      <w:r w:rsidR="002724B2" w:rsidRPr="00D15B2C">
        <w:t xml:space="preserve"> La Banque de Développement Locale</w:t>
      </w:r>
    </w:p>
    <w:p w:rsidR="002724B2" w:rsidRDefault="002724B2" w:rsidP="005B4339">
      <w:pPr>
        <w:ind w:firstLine="0"/>
        <w:rPr>
          <w:b/>
          <w:sz w:val="20"/>
          <w:szCs w:val="20"/>
        </w:rPr>
      </w:pPr>
      <w:r w:rsidRPr="00BD18EC">
        <w:rPr>
          <w:b/>
        </w:rPr>
        <w:t xml:space="preserve">Tableau n°12 : Tableau des ratios prudentiels de la BDL. </w:t>
      </w:r>
    </w:p>
    <w:tbl>
      <w:tblPr>
        <w:tblW w:w="9080" w:type="dxa"/>
        <w:tblInd w:w="70" w:type="dxa"/>
        <w:tblCellMar>
          <w:left w:w="70" w:type="dxa"/>
          <w:right w:w="70" w:type="dxa"/>
        </w:tblCellMar>
        <w:tblLook w:val="00A0" w:firstRow="1" w:lastRow="0" w:firstColumn="1" w:lastColumn="0" w:noHBand="0" w:noVBand="0"/>
      </w:tblPr>
      <w:tblGrid>
        <w:gridCol w:w="4609"/>
        <w:gridCol w:w="1511"/>
        <w:gridCol w:w="1524"/>
        <w:gridCol w:w="1436"/>
      </w:tblGrid>
      <w:tr w:rsidR="001D5E53" w:rsidRPr="007D646F" w:rsidTr="00060EA3">
        <w:trPr>
          <w:trHeight w:val="578"/>
        </w:trPr>
        <w:tc>
          <w:tcPr>
            <w:tcW w:w="4609" w:type="dxa"/>
            <w:tcBorders>
              <w:top w:val="single" w:sz="8" w:space="0" w:color="auto"/>
              <w:left w:val="single" w:sz="8" w:space="0" w:color="auto"/>
              <w:bottom w:val="single" w:sz="4" w:space="0" w:color="auto"/>
              <w:right w:val="single" w:sz="4" w:space="0" w:color="auto"/>
            </w:tcBorders>
            <w:shd w:val="clear" w:color="000000" w:fill="31869B"/>
            <w:noWrap/>
            <w:vAlign w:val="center"/>
          </w:tcPr>
          <w:p w:rsidR="001D5E53" w:rsidRPr="00D15B2C" w:rsidRDefault="001D5E53" w:rsidP="00060EA3">
            <w:pPr>
              <w:spacing w:after="0" w:line="240" w:lineRule="auto"/>
              <w:jc w:val="center"/>
              <w:rPr>
                <w:rFonts w:cs="Times New Roman"/>
                <w:b/>
                <w:bCs/>
                <w:color w:val="000000"/>
                <w:szCs w:val="24"/>
              </w:rPr>
            </w:pPr>
            <w:r w:rsidRPr="00D15B2C">
              <w:rPr>
                <w:rFonts w:cs="Times New Roman"/>
                <w:b/>
                <w:bCs/>
                <w:color w:val="000000"/>
                <w:szCs w:val="24"/>
              </w:rPr>
              <w:t>Ratios prudentiels</w:t>
            </w:r>
          </w:p>
        </w:tc>
        <w:tc>
          <w:tcPr>
            <w:tcW w:w="1511" w:type="dxa"/>
            <w:tcBorders>
              <w:top w:val="single" w:sz="8" w:space="0" w:color="auto"/>
              <w:left w:val="nil"/>
              <w:bottom w:val="single" w:sz="4" w:space="0" w:color="auto"/>
              <w:right w:val="single" w:sz="4" w:space="0" w:color="auto"/>
            </w:tcBorders>
            <w:shd w:val="clear" w:color="000000" w:fill="31869B"/>
            <w:noWrap/>
            <w:vAlign w:val="center"/>
          </w:tcPr>
          <w:p w:rsidR="001D5E53" w:rsidRPr="00D15B2C" w:rsidRDefault="001D5E53" w:rsidP="00E96CB0">
            <w:pPr>
              <w:spacing w:after="0" w:line="240" w:lineRule="auto"/>
              <w:jc w:val="center"/>
              <w:rPr>
                <w:rFonts w:cs="Times New Roman"/>
                <w:b/>
                <w:bCs/>
                <w:color w:val="000000"/>
                <w:szCs w:val="24"/>
              </w:rPr>
            </w:pPr>
            <w:r w:rsidRPr="00D15B2C">
              <w:rPr>
                <w:rFonts w:cs="Times New Roman"/>
                <w:b/>
                <w:bCs/>
                <w:color w:val="000000"/>
                <w:szCs w:val="24"/>
              </w:rPr>
              <w:t>201</w:t>
            </w:r>
            <w:r w:rsidR="00E96CB0">
              <w:rPr>
                <w:rFonts w:cs="Times New Roman"/>
                <w:b/>
                <w:bCs/>
                <w:color w:val="000000"/>
                <w:szCs w:val="24"/>
              </w:rPr>
              <w:t>1</w:t>
            </w:r>
          </w:p>
        </w:tc>
        <w:tc>
          <w:tcPr>
            <w:tcW w:w="1524" w:type="dxa"/>
            <w:tcBorders>
              <w:top w:val="single" w:sz="8" w:space="0" w:color="auto"/>
              <w:left w:val="nil"/>
              <w:bottom w:val="single" w:sz="4" w:space="0" w:color="auto"/>
              <w:right w:val="single" w:sz="4" w:space="0" w:color="auto"/>
            </w:tcBorders>
            <w:shd w:val="clear" w:color="000000" w:fill="31869B"/>
            <w:noWrap/>
            <w:vAlign w:val="center"/>
          </w:tcPr>
          <w:p w:rsidR="001D5E53" w:rsidRPr="00D15B2C" w:rsidRDefault="001D5E53" w:rsidP="00E96CB0">
            <w:pPr>
              <w:spacing w:after="0" w:line="240" w:lineRule="auto"/>
              <w:jc w:val="center"/>
              <w:rPr>
                <w:rFonts w:cs="Times New Roman"/>
                <w:b/>
                <w:bCs/>
                <w:color w:val="000000"/>
                <w:szCs w:val="24"/>
              </w:rPr>
            </w:pPr>
            <w:r w:rsidRPr="00D15B2C">
              <w:rPr>
                <w:rFonts w:cs="Times New Roman"/>
                <w:b/>
                <w:bCs/>
                <w:color w:val="000000"/>
                <w:szCs w:val="24"/>
              </w:rPr>
              <w:t>201</w:t>
            </w:r>
            <w:r w:rsidR="00E96CB0">
              <w:rPr>
                <w:rFonts w:cs="Times New Roman"/>
                <w:b/>
                <w:bCs/>
                <w:color w:val="000000"/>
                <w:szCs w:val="24"/>
              </w:rPr>
              <w:t>2</w:t>
            </w:r>
          </w:p>
        </w:tc>
        <w:tc>
          <w:tcPr>
            <w:tcW w:w="1436" w:type="dxa"/>
            <w:tcBorders>
              <w:top w:val="single" w:sz="8" w:space="0" w:color="auto"/>
              <w:left w:val="nil"/>
              <w:bottom w:val="single" w:sz="4" w:space="0" w:color="auto"/>
              <w:right w:val="single" w:sz="8" w:space="0" w:color="auto"/>
            </w:tcBorders>
            <w:shd w:val="clear" w:color="000000" w:fill="31869B"/>
            <w:noWrap/>
            <w:vAlign w:val="center"/>
          </w:tcPr>
          <w:p w:rsidR="001D5E53" w:rsidRPr="00D15B2C" w:rsidRDefault="00E96CB0" w:rsidP="00060EA3">
            <w:pPr>
              <w:spacing w:after="0" w:line="240" w:lineRule="auto"/>
              <w:jc w:val="center"/>
              <w:rPr>
                <w:rFonts w:cs="Times New Roman"/>
                <w:b/>
                <w:bCs/>
                <w:color w:val="000000"/>
                <w:szCs w:val="24"/>
              </w:rPr>
            </w:pPr>
            <w:r>
              <w:rPr>
                <w:rFonts w:cs="Times New Roman"/>
                <w:b/>
                <w:bCs/>
                <w:color w:val="000000"/>
                <w:szCs w:val="24"/>
              </w:rPr>
              <w:t>2013</w:t>
            </w:r>
          </w:p>
        </w:tc>
      </w:tr>
      <w:tr w:rsidR="001D5E53" w:rsidRPr="007D646F" w:rsidTr="00060EA3">
        <w:trPr>
          <w:trHeight w:val="578"/>
        </w:trPr>
        <w:tc>
          <w:tcPr>
            <w:tcW w:w="4609" w:type="dxa"/>
            <w:tcBorders>
              <w:top w:val="nil"/>
              <w:left w:val="single" w:sz="8" w:space="0" w:color="auto"/>
              <w:bottom w:val="single" w:sz="4" w:space="0" w:color="auto"/>
              <w:right w:val="single" w:sz="4"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Le ratio de solvabilité (norme ≥9%)</w:t>
            </w:r>
          </w:p>
        </w:tc>
        <w:tc>
          <w:tcPr>
            <w:tcW w:w="1511" w:type="dxa"/>
            <w:tcBorders>
              <w:top w:val="nil"/>
              <w:left w:val="nil"/>
              <w:bottom w:val="nil"/>
              <w:right w:val="nil"/>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19,53%</w:t>
            </w:r>
          </w:p>
        </w:tc>
        <w:tc>
          <w:tcPr>
            <w:tcW w:w="1524" w:type="dxa"/>
            <w:tcBorders>
              <w:top w:val="nil"/>
              <w:left w:val="single" w:sz="4" w:space="0" w:color="auto"/>
              <w:bottom w:val="single" w:sz="4" w:space="0" w:color="auto"/>
              <w:right w:val="single" w:sz="4"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15,75%</w:t>
            </w:r>
          </w:p>
        </w:tc>
        <w:tc>
          <w:tcPr>
            <w:tcW w:w="1436" w:type="dxa"/>
            <w:tcBorders>
              <w:top w:val="nil"/>
              <w:left w:val="nil"/>
              <w:bottom w:val="single" w:sz="4" w:space="0" w:color="auto"/>
              <w:right w:val="single" w:sz="8"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12,71%</w:t>
            </w:r>
          </w:p>
        </w:tc>
      </w:tr>
      <w:tr w:rsidR="001D5E53" w:rsidRPr="007D646F" w:rsidTr="00060EA3">
        <w:trPr>
          <w:trHeight w:val="578"/>
        </w:trPr>
        <w:tc>
          <w:tcPr>
            <w:tcW w:w="4609" w:type="dxa"/>
            <w:tcBorders>
              <w:top w:val="nil"/>
              <w:left w:val="single" w:sz="8" w:space="0" w:color="auto"/>
              <w:bottom w:val="single" w:sz="4" w:space="0" w:color="auto"/>
              <w:right w:val="single" w:sz="4"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Le coefficient de liquidité (norme 100%)</w:t>
            </w:r>
          </w:p>
        </w:tc>
        <w:tc>
          <w:tcPr>
            <w:tcW w:w="1511" w:type="dxa"/>
            <w:tcBorders>
              <w:top w:val="single" w:sz="4" w:space="0" w:color="auto"/>
              <w:left w:val="nil"/>
              <w:bottom w:val="single" w:sz="4" w:space="0" w:color="auto"/>
              <w:right w:val="single" w:sz="4"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 </w:t>
            </w:r>
          </w:p>
        </w:tc>
        <w:tc>
          <w:tcPr>
            <w:tcW w:w="1524" w:type="dxa"/>
            <w:tcBorders>
              <w:top w:val="nil"/>
              <w:left w:val="nil"/>
              <w:bottom w:val="single" w:sz="4" w:space="0" w:color="auto"/>
              <w:right w:val="single" w:sz="4"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175%</w:t>
            </w:r>
          </w:p>
        </w:tc>
        <w:tc>
          <w:tcPr>
            <w:tcW w:w="1436" w:type="dxa"/>
            <w:tcBorders>
              <w:top w:val="nil"/>
              <w:left w:val="nil"/>
              <w:bottom w:val="single" w:sz="4" w:space="0" w:color="auto"/>
              <w:right w:val="single" w:sz="8" w:space="0" w:color="auto"/>
            </w:tcBorders>
            <w:noWrap/>
            <w:vAlign w:val="center"/>
          </w:tcPr>
          <w:p w:rsidR="001D5E53" w:rsidRPr="00D15B2C" w:rsidRDefault="001D5E53" w:rsidP="00060EA3">
            <w:pPr>
              <w:spacing w:before="0" w:after="0" w:line="240" w:lineRule="auto"/>
              <w:jc w:val="center"/>
              <w:rPr>
                <w:rFonts w:cs="Times New Roman"/>
                <w:b/>
                <w:bCs/>
                <w:color w:val="000000"/>
                <w:szCs w:val="24"/>
              </w:rPr>
            </w:pPr>
            <w:r w:rsidRPr="00D15B2C">
              <w:rPr>
                <w:rFonts w:cs="Times New Roman"/>
                <w:b/>
                <w:bCs/>
                <w:color w:val="000000"/>
                <w:szCs w:val="24"/>
              </w:rPr>
              <w:t>102%</w:t>
            </w:r>
          </w:p>
        </w:tc>
      </w:tr>
      <w:tr w:rsidR="001D5E53" w:rsidRPr="007D646F" w:rsidTr="00060EA3">
        <w:trPr>
          <w:trHeight w:val="578"/>
        </w:trPr>
        <w:tc>
          <w:tcPr>
            <w:tcW w:w="4609" w:type="dxa"/>
            <w:tcBorders>
              <w:top w:val="nil"/>
              <w:left w:val="single" w:sz="8" w:space="0" w:color="auto"/>
              <w:bottom w:val="single" w:sz="8" w:space="0" w:color="auto"/>
              <w:right w:val="single" w:sz="4" w:space="0" w:color="auto"/>
            </w:tcBorders>
            <w:noWrap/>
            <w:vAlign w:val="center"/>
          </w:tcPr>
          <w:p w:rsidR="001D5E53" w:rsidRPr="00D15B2C" w:rsidRDefault="001D5E53" w:rsidP="00381574">
            <w:pPr>
              <w:spacing w:before="0" w:after="0" w:line="240" w:lineRule="auto"/>
              <w:jc w:val="center"/>
              <w:rPr>
                <w:rFonts w:cs="Times New Roman"/>
                <w:b/>
                <w:bCs/>
                <w:color w:val="000000"/>
                <w:szCs w:val="24"/>
              </w:rPr>
            </w:pPr>
            <w:r w:rsidRPr="00D15B2C">
              <w:rPr>
                <w:rFonts w:cs="Times New Roman"/>
                <w:b/>
                <w:bCs/>
                <w:color w:val="000000"/>
                <w:szCs w:val="24"/>
              </w:rPr>
              <w:t>Les coefficients fonds propres: ressources permanentes (norme ≥à 60%)</w:t>
            </w:r>
          </w:p>
        </w:tc>
        <w:tc>
          <w:tcPr>
            <w:tcW w:w="1511" w:type="dxa"/>
            <w:tcBorders>
              <w:top w:val="nil"/>
              <w:left w:val="nil"/>
              <w:bottom w:val="single" w:sz="8" w:space="0" w:color="auto"/>
              <w:right w:val="single" w:sz="4" w:space="0" w:color="auto"/>
            </w:tcBorders>
            <w:noWrap/>
            <w:vAlign w:val="center"/>
          </w:tcPr>
          <w:p w:rsidR="001D5E53" w:rsidRPr="00D15B2C" w:rsidRDefault="001D5E53" w:rsidP="00381574">
            <w:pPr>
              <w:spacing w:before="0" w:after="0" w:line="240" w:lineRule="auto"/>
              <w:jc w:val="center"/>
              <w:rPr>
                <w:rFonts w:cs="Times New Roman"/>
                <w:b/>
                <w:bCs/>
                <w:color w:val="000000"/>
                <w:szCs w:val="24"/>
              </w:rPr>
            </w:pPr>
            <w:r w:rsidRPr="00D15B2C">
              <w:rPr>
                <w:rFonts w:cs="Times New Roman"/>
                <w:b/>
                <w:bCs/>
                <w:color w:val="000000"/>
                <w:szCs w:val="24"/>
              </w:rPr>
              <w:t>97,12%</w:t>
            </w:r>
          </w:p>
        </w:tc>
        <w:tc>
          <w:tcPr>
            <w:tcW w:w="1524" w:type="dxa"/>
            <w:tcBorders>
              <w:top w:val="nil"/>
              <w:left w:val="nil"/>
              <w:bottom w:val="single" w:sz="8" w:space="0" w:color="auto"/>
              <w:right w:val="single" w:sz="4" w:space="0" w:color="auto"/>
            </w:tcBorders>
            <w:noWrap/>
            <w:vAlign w:val="center"/>
          </w:tcPr>
          <w:p w:rsidR="001D5E53" w:rsidRPr="00D15B2C" w:rsidRDefault="001D5E53" w:rsidP="00381574">
            <w:pPr>
              <w:spacing w:before="0" w:after="0" w:line="240" w:lineRule="auto"/>
              <w:jc w:val="center"/>
              <w:rPr>
                <w:rFonts w:cs="Times New Roman"/>
                <w:b/>
                <w:bCs/>
                <w:color w:val="000000"/>
                <w:szCs w:val="24"/>
              </w:rPr>
            </w:pPr>
            <w:r w:rsidRPr="00D15B2C">
              <w:rPr>
                <w:rFonts w:cs="Times New Roman"/>
                <w:b/>
                <w:bCs/>
                <w:color w:val="000000"/>
                <w:szCs w:val="24"/>
              </w:rPr>
              <w:t>80,68%</w:t>
            </w:r>
          </w:p>
        </w:tc>
        <w:tc>
          <w:tcPr>
            <w:tcW w:w="1436" w:type="dxa"/>
            <w:tcBorders>
              <w:top w:val="nil"/>
              <w:left w:val="nil"/>
              <w:bottom w:val="single" w:sz="8" w:space="0" w:color="auto"/>
              <w:right w:val="single" w:sz="8" w:space="0" w:color="auto"/>
            </w:tcBorders>
            <w:noWrap/>
            <w:vAlign w:val="center"/>
          </w:tcPr>
          <w:p w:rsidR="001D5E53" w:rsidRPr="00D15B2C" w:rsidRDefault="001D5E53" w:rsidP="00381574">
            <w:pPr>
              <w:spacing w:before="0" w:after="0" w:line="240" w:lineRule="auto"/>
              <w:jc w:val="center"/>
              <w:rPr>
                <w:rFonts w:cs="Times New Roman"/>
                <w:b/>
                <w:bCs/>
                <w:color w:val="000000"/>
                <w:szCs w:val="24"/>
              </w:rPr>
            </w:pPr>
            <w:r w:rsidRPr="00D15B2C">
              <w:rPr>
                <w:rFonts w:cs="Times New Roman"/>
                <w:b/>
                <w:bCs/>
                <w:color w:val="000000"/>
                <w:szCs w:val="24"/>
              </w:rPr>
              <w:t>72,50%</w:t>
            </w:r>
          </w:p>
        </w:tc>
      </w:tr>
    </w:tbl>
    <w:p w:rsidR="00381574" w:rsidRDefault="00381574" w:rsidP="005608CB">
      <w:pPr>
        <w:pStyle w:val="Titre4"/>
        <w:numPr>
          <w:ilvl w:val="0"/>
          <w:numId w:val="0"/>
        </w:numPr>
        <w:spacing w:line="240" w:lineRule="auto"/>
        <w:ind w:left="360"/>
        <w:jc w:val="right"/>
      </w:pPr>
      <w:r w:rsidRPr="00BD18EC">
        <w:rPr>
          <w:b w:val="0"/>
          <w:sz w:val="20"/>
          <w:szCs w:val="20"/>
        </w:rPr>
        <w:t xml:space="preserve">Source : Rapport </w:t>
      </w:r>
      <w:r w:rsidR="005608CB">
        <w:rPr>
          <w:b w:val="0"/>
          <w:sz w:val="20"/>
          <w:szCs w:val="20"/>
        </w:rPr>
        <w:t>annuel de la BDL</w:t>
      </w:r>
      <w:r w:rsidR="00E96CB0">
        <w:rPr>
          <w:b w:val="0"/>
          <w:sz w:val="20"/>
          <w:szCs w:val="20"/>
        </w:rPr>
        <w:t>, 2012</w:t>
      </w:r>
    </w:p>
    <w:p w:rsidR="001D5E53" w:rsidRDefault="006517B5" w:rsidP="00060EA3">
      <w:pPr>
        <w:pStyle w:val="Titre4"/>
        <w:numPr>
          <w:ilvl w:val="0"/>
          <w:numId w:val="0"/>
        </w:numPr>
        <w:ind w:left="360"/>
      </w:pPr>
      <w:r>
        <w:t>4</w:t>
      </w:r>
      <w:r w:rsidR="00FB23A2">
        <w:t xml:space="preserve">.2.2.2 </w:t>
      </w:r>
      <w:r w:rsidR="001D5E53">
        <w:t xml:space="preserve"> Société G</w:t>
      </w:r>
      <w:r w:rsidR="001D5E53" w:rsidRPr="00625D37">
        <w:t>énérale :</w:t>
      </w:r>
    </w:p>
    <w:p w:rsidR="001D5E53" w:rsidRDefault="00667B65" w:rsidP="00950AFE">
      <w:pPr>
        <w:ind w:firstLine="142"/>
        <w:rPr>
          <w:b/>
        </w:rPr>
      </w:pPr>
      <w:r>
        <w:rPr>
          <w:b/>
        </w:rPr>
        <w:t>Tableau n°13</w:t>
      </w:r>
      <w:r w:rsidR="001D5E53" w:rsidRPr="009C405B">
        <w:rPr>
          <w:b/>
        </w:rPr>
        <w:t> </w:t>
      </w:r>
      <w:r w:rsidR="00AC2B20" w:rsidRPr="009C405B">
        <w:rPr>
          <w:b/>
        </w:rPr>
        <w:t>: Tableau</w:t>
      </w:r>
      <w:r w:rsidR="001D5E53" w:rsidRPr="009C405B">
        <w:rPr>
          <w:b/>
        </w:rPr>
        <w:t xml:space="preserve"> des ratios réglementaires de Société Générale. </w:t>
      </w:r>
    </w:p>
    <w:tbl>
      <w:tblPr>
        <w:tblW w:w="8700" w:type="dxa"/>
        <w:tblInd w:w="55" w:type="dxa"/>
        <w:tblCellMar>
          <w:left w:w="70" w:type="dxa"/>
          <w:right w:w="70" w:type="dxa"/>
        </w:tblCellMar>
        <w:tblLook w:val="04A0" w:firstRow="1" w:lastRow="0" w:firstColumn="1" w:lastColumn="0" w:noHBand="0" w:noVBand="1"/>
      </w:tblPr>
      <w:tblGrid>
        <w:gridCol w:w="3940"/>
        <w:gridCol w:w="2360"/>
        <w:gridCol w:w="2400"/>
      </w:tblGrid>
      <w:tr w:rsidR="00E02DB0" w:rsidRPr="00E02DB0" w:rsidTr="00E02DB0">
        <w:trPr>
          <w:trHeight w:val="600"/>
        </w:trPr>
        <w:tc>
          <w:tcPr>
            <w:tcW w:w="3940"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ratios réglementaires B</w:t>
            </w:r>
            <w:r>
              <w:rPr>
                <w:rFonts w:cs="Times New Roman"/>
                <w:b/>
                <w:bCs/>
                <w:color w:val="000000"/>
                <w:szCs w:val="24"/>
              </w:rPr>
              <w:t>â</w:t>
            </w:r>
            <w:r w:rsidRPr="00E02DB0">
              <w:rPr>
                <w:rFonts w:cs="Times New Roman"/>
                <w:b/>
                <w:bCs/>
                <w:color w:val="000000"/>
                <w:szCs w:val="24"/>
              </w:rPr>
              <w:t>le III</w:t>
            </w:r>
          </w:p>
        </w:tc>
        <w:tc>
          <w:tcPr>
            <w:tcW w:w="2360" w:type="dxa"/>
            <w:tcBorders>
              <w:top w:val="single" w:sz="4" w:space="0" w:color="auto"/>
              <w:left w:val="nil"/>
              <w:bottom w:val="single" w:sz="4" w:space="0" w:color="auto"/>
              <w:right w:val="single" w:sz="4" w:space="0" w:color="auto"/>
            </w:tcBorders>
            <w:shd w:val="clear" w:color="000000" w:fill="FFC000"/>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2012</w:t>
            </w:r>
          </w:p>
        </w:tc>
        <w:tc>
          <w:tcPr>
            <w:tcW w:w="2400" w:type="dxa"/>
            <w:tcBorders>
              <w:top w:val="single" w:sz="4" w:space="0" w:color="auto"/>
              <w:left w:val="nil"/>
              <w:bottom w:val="single" w:sz="4" w:space="0" w:color="auto"/>
              <w:right w:val="single" w:sz="4" w:space="0" w:color="auto"/>
            </w:tcBorders>
            <w:shd w:val="clear" w:color="000000" w:fill="FFC000"/>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2013</w:t>
            </w:r>
          </w:p>
        </w:tc>
      </w:tr>
      <w:tr w:rsidR="00E02DB0" w:rsidRPr="00E02DB0" w:rsidTr="00E02DB0">
        <w:trPr>
          <w:trHeight w:val="600"/>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Ratio de Solvabilité</w:t>
            </w:r>
          </w:p>
        </w:tc>
        <w:tc>
          <w:tcPr>
            <w:tcW w:w="2360" w:type="dxa"/>
            <w:tcBorders>
              <w:top w:val="nil"/>
              <w:left w:val="nil"/>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14,30%</w:t>
            </w:r>
          </w:p>
        </w:tc>
        <w:tc>
          <w:tcPr>
            <w:tcW w:w="2400" w:type="dxa"/>
            <w:tcBorders>
              <w:top w:val="nil"/>
              <w:left w:val="nil"/>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13,40%</w:t>
            </w:r>
          </w:p>
        </w:tc>
      </w:tr>
      <w:tr w:rsidR="00E02DB0" w:rsidRPr="00E02DB0" w:rsidTr="00E02DB0">
        <w:trPr>
          <w:trHeight w:val="600"/>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Ratio Tier1</w:t>
            </w:r>
          </w:p>
        </w:tc>
        <w:tc>
          <w:tcPr>
            <w:tcW w:w="2360" w:type="dxa"/>
            <w:tcBorders>
              <w:top w:val="nil"/>
              <w:left w:val="nil"/>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12,60%</w:t>
            </w:r>
          </w:p>
        </w:tc>
        <w:tc>
          <w:tcPr>
            <w:tcW w:w="2400" w:type="dxa"/>
            <w:tcBorders>
              <w:top w:val="nil"/>
              <w:left w:val="nil"/>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11,80%</w:t>
            </w:r>
          </w:p>
        </w:tc>
      </w:tr>
      <w:tr w:rsidR="00E02DB0" w:rsidRPr="00E02DB0" w:rsidTr="00E02DB0">
        <w:trPr>
          <w:trHeight w:val="600"/>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 xml:space="preserve">Ratio Common </w:t>
            </w:r>
            <w:proofErr w:type="spellStart"/>
            <w:r w:rsidRPr="00E02DB0">
              <w:rPr>
                <w:rFonts w:cs="Times New Roman"/>
                <w:b/>
                <w:bCs/>
                <w:color w:val="000000"/>
                <w:szCs w:val="24"/>
              </w:rPr>
              <w:t>Equity</w:t>
            </w:r>
            <w:proofErr w:type="spellEnd"/>
            <w:r w:rsidRPr="00E02DB0">
              <w:rPr>
                <w:rFonts w:cs="Times New Roman"/>
                <w:b/>
                <w:bCs/>
                <w:color w:val="000000"/>
                <w:szCs w:val="24"/>
              </w:rPr>
              <w:t xml:space="preserve"> </w:t>
            </w:r>
            <w:proofErr w:type="spellStart"/>
            <w:r w:rsidRPr="00E02DB0">
              <w:rPr>
                <w:rFonts w:cs="Times New Roman"/>
                <w:b/>
                <w:bCs/>
                <w:color w:val="000000"/>
                <w:szCs w:val="24"/>
              </w:rPr>
              <w:t>Tier</w:t>
            </w:r>
            <w:proofErr w:type="spellEnd"/>
            <w:r w:rsidRPr="00E02DB0">
              <w:rPr>
                <w:rFonts w:cs="Times New Roman"/>
                <w:b/>
                <w:bCs/>
                <w:color w:val="000000"/>
                <w:szCs w:val="24"/>
              </w:rPr>
              <w:t xml:space="preserve"> 1</w:t>
            </w:r>
          </w:p>
        </w:tc>
        <w:tc>
          <w:tcPr>
            <w:tcW w:w="2360" w:type="dxa"/>
            <w:tcBorders>
              <w:top w:val="nil"/>
              <w:left w:val="nil"/>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10,10%</w:t>
            </w:r>
          </w:p>
        </w:tc>
        <w:tc>
          <w:tcPr>
            <w:tcW w:w="2400" w:type="dxa"/>
            <w:tcBorders>
              <w:top w:val="nil"/>
              <w:left w:val="nil"/>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10,00%</w:t>
            </w:r>
          </w:p>
        </w:tc>
      </w:tr>
      <w:tr w:rsidR="00E02DB0" w:rsidRPr="00E02DB0" w:rsidTr="00E02DB0">
        <w:trPr>
          <w:trHeight w:val="600"/>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Ratio de liquidité à 1 mois</w:t>
            </w:r>
          </w:p>
        </w:tc>
        <w:tc>
          <w:tcPr>
            <w:tcW w:w="2360" w:type="dxa"/>
            <w:tcBorders>
              <w:top w:val="nil"/>
              <w:left w:val="nil"/>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118%</w:t>
            </w:r>
          </w:p>
        </w:tc>
        <w:tc>
          <w:tcPr>
            <w:tcW w:w="2400" w:type="dxa"/>
            <w:tcBorders>
              <w:top w:val="nil"/>
              <w:left w:val="nil"/>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&gt;100%</w:t>
            </w:r>
          </w:p>
        </w:tc>
      </w:tr>
      <w:tr w:rsidR="00E02DB0" w:rsidRPr="00E02DB0" w:rsidTr="00E02DB0">
        <w:trPr>
          <w:trHeight w:val="585"/>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Ratio de Levier CRR</w:t>
            </w:r>
          </w:p>
        </w:tc>
        <w:tc>
          <w:tcPr>
            <w:tcW w:w="2360" w:type="dxa"/>
            <w:tcBorders>
              <w:top w:val="nil"/>
              <w:left w:val="nil"/>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3,80%</w:t>
            </w:r>
          </w:p>
        </w:tc>
        <w:tc>
          <w:tcPr>
            <w:tcW w:w="2400" w:type="dxa"/>
            <w:tcBorders>
              <w:top w:val="nil"/>
              <w:left w:val="nil"/>
              <w:bottom w:val="single" w:sz="4" w:space="0" w:color="auto"/>
              <w:right w:val="single" w:sz="4" w:space="0" w:color="auto"/>
            </w:tcBorders>
            <w:shd w:val="clear" w:color="auto" w:fill="auto"/>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3,50%</w:t>
            </w:r>
          </w:p>
        </w:tc>
      </w:tr>
      <w:tr w:rsidR="00E02DB0" w:rsidRPr="00E02DB0" w:rsidTr="00E02DB0">
        <w:trPr>
          <w:trHeight w:val="585"/>
        </w:trPr>
        <w:tc>
          <w:tcPr>
            <w:tcW w:w="3940" w:type="dxa"/>
            <w:tcBorders>
              <w:top w:val="nil"/>
              <w:left w:val="single" w:sz="4" w:space="0" w:color="auto"/>
              <w:bottom w:val="single" w:sz="4" w:space="0" w:color="auto"/>
              <w:right w:val="single" w:sz="4" w:space="0" w:color="auto"/>
            </w:tcBorders>
            <w:shd w:val="clear" w:color="000000" w:fill="00B050"/>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 xml:space="preserve">Ratio Réglementaires Bâle III </w:t>
            </w:r>
            <w:proofErr w:type="spellStart"/>
            <w:r w:rsidRPr="00E02DB0">
              <w:rPr>
                <w:rFonts w:cs="Times New Roman"/>
                <w:b/>
                <w:bCs/>
                <w:color w:val="000000"/>
                <w:szCs w:val="24"/>
              </w:rPr>
              <w:t>phasé</w:t>
            </w:r>
            <w:proofErr w:type="spellEnd"/>
          </w:p>
        </w:tc>
        <w:tc>
          <w:tcPr>
            <w:tcW w:w="2360" w:type="dxa"/>
            <w:tcBorders>
              <w:top w:val="nil"/>
              <w:left w:val="nil"/>
              <w:bottom w:val="single" w:sz="4" w:space="0" w:color="auto"/>
              <w:right w:val="single" w:sz="4" w:space="0" w:color="auto"/>
            </w:tcBorders>
            <w:shd w:val="clear" w:color="000000" w:fill="00B050"/>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10,90%</w:t>
            </w:r>
          </w:p>
        </w:tc>
        <w:tc>
          <w:tcPr>
            <w:tcW w:w="2400" w:type="dxa"/>
            <w:tcBorders>
              <w:top w:val="nil"/>
              <w:left w:val="nil"/>
              <w:bottom w:val="single" w:sz="4" w:space="0" w:color="auto"/>
              <w:right w:val="single" w:sz="4" w:space="0" w:color="auto"/>
            </w:tcBorders>
            <w:shd w:val="clear" w:color="000000" w:fill="00B050"/>
            <w:noWrap/>
            <w:vAlign w:val="center"/>
            <w:hideMark/>
          </w:tcPr>
          <w:p w:rsidR="00E02DB0" w:rsidRPr="00E02DB0" w:rsidRDefault="00E02DB0" w:rsidP="00E02DB0">
            <w:pPr>
              <w:spacing w:before="0" w:after="0" w:line="240" w:lineRule="auto"/>
              <w:ind w:firstLine="0"/>
              <w:jc w:val="center"/>
              <w:rPr>
                <w:rFonts w:cs="Times New Roman"/>
                <w:b/>
                <w:bCs/>
                <w:color w:val="000000"/>
                <w:szCs w:val="24"/>
              </w:rPr>
            </w:pPr>
            <w:r w:rsidRPr="00E02DB0">
              <w:rPr>
                <w:rFonts w:cs="Times New Roman"/>
                <w:b/>
                <w:bCs/>
                <w:color w:val="000000"/>
                <w:szCs w:val="24"/>
              </w:rPr>
              <w:t>10,90%</w:t>
            </w:r>
          </w:p>
        </w:tc>
      </w:tr>
    </w:tbl>
    <w:p w:rsidR="00381574" w:rsidRPr="00381574" w:rsidRDefault="00381574" w:rsidP="00E96CB0">
      <w:pPr>
        <w:spacing w:before="0" w:after="0" w:line="240" w:lineRule="auto"/>
        <w:jc w:val="right"/>
        <w:rPr>
          <w:sz w:val="20"/>
          <w:szCs w:val="20"/>
        </w:rPr>
      </w:pPr>
      <w:r w:rsidRPr="00381574">
        <w:rPr>
          <w:sz w:val="20"/>
          <w:szCs w:val="20"/>
        </w:rPr>
        <w:t>Source : Rapport financier annuel de Société Générale, 201</w:t>
      </w:r>
      <w:r w:rsidR="00E96CB0">
        <w:rPr>
          <w:sz w:val="20"/>
          <w:szCs w:val="20"/>
        </w:rPr>
        <w:t>3</w:t>
      </w:r>
      <w:r w:rsidRPr="00381574">
        <w:rPr>
          <w:sz w:val="20"/>
          <w:szCs w:val="20"/>
        </w:rPr>
        <w:t xml:space="preserve">, page 144. </w:t>
      </w:r>
    </w:p>
    <w:p w:rsidR="006023F3" w:rsidRDefault="006023F3" w:rsidP="001D5E53"/>
    <w:p w:rsidR="001D5E53" w:rsidRPr="002471D2" w:rsidRDefault="001D5E53" w:rsidP="00FB23A2">
      <w:pPr>
        <w:rPr>
          <w:b/>
          <w:bCs/>
        </w:rPr>
      </w:pPr>
      <w:r w:rsidRPr="002471D2">
        <w:t>Dans notre comparaison, nous nous sommes basé</w:t>
      </w:r>
      <w:r>
        <w:t>s sur le ratio de solvabilité qui est un ratio universel pour les banques, et que nous constaté  (t</w:t>
      </w:r>
      <w:r w:rsidR="00FB23A2">
        <w:t>ableaux N°13 et 14) plus élevé à</w:t>
      </w:r>
      <w:r>
        <w:t xml:space="preserve"> la BDL par Rapport à la Société Générale, cela ne signifie pas que la Société Générale n’est assez dotée d’une solidité financière, mais plutôt que la BDL témoigne d’un surplus de liquidité.</w:t>
      </w:r>
    </w:p>
    <w:p w:rsidR="00F319DE" w:rsidRDefault="00F319DE" w:rsidP="00060EA3">
      <w:pPr>
        <w:pStyle w:val="Titre1"/>
      </w:pPr>
    </w:p>
    <w:p w:rsidR="00F319DE" w:rsidRDefault="00F319DE" w:rsidP="00060EA3">
      <w:pPr>
        <w:pStyle w:val="Titre1"/>
      </w:pPr>
    </w:p>
    <w:p w:rsidR="001D5E53" w:rsidRDefault="001D5E53" w:rsidP="00060EA3">
      <w:pPr>
        <w:pStyle w:val="Titre1"/>
      </w:pPr>
      <w:bookmarkStart w:id="76" w:name="_Toc431980022"/>
      <w:r>
        <w:lastRenderedPageBreak/>
        <w:t>Section 02</w:t>
      </w:r>
      <w:r w:rsidRPr="00762F28">
        <w:t xml:space="preserve"> : </w:t>
      </w:r>
      <w:r>
        <w:t>C</w:t>
      </w:r>
      <w:r w:rsidRPr="00762F28">
        <w:t xml:space="preserve">aractéristiques </w:t>
      </w:r>
      <w:r>
        <w:t xml:space="preserve">et conséquences </w:t>
      </w:r>
      <w:r w:rsidRPr="00762F28">
        <w:t>de la surliquidité bancaire en Algérie</w:t>
      </w:r>
      <w:r w:rsidR="005B4339">
        <w:t>.</w:t>
      </w:r>
      <w:bookmarkEnd w:id="76"/>
    </w:p>
    <w:p w:rsidR="001D5E53" w:rsidRDefault="001D5E53" w:rsidP="001D5E53">
      <w:r>
        <w:t xml:space="preserve">Depuis 2002, les banques algériennes commençaient à marquer une liquidité grandissante, qui n’a cessé d’ailleurs de grimper pendant cette décennie. Cette surliquidité est caractérisée par plusieurs phénomènes : sous-financement des PME/PMI, entre autres, et dues à certains facteurs dont nous allons en citer les principaux. </w:t>
      </w:r>
    </w:p>
    <w:p w:rsidR="001D5E53" w:rsidRPr="00ED4E9A" w:rsidRDefault="006517B5" w:rsidP="006517B5">
      <w:pPr>
        <w:pStyle w:val="Titre1"/>
        <w:ind w:left="360"/>
      </w:pPr>
      <w:bookmarkStart w:id="77" w:name="_Toc431416592"/>
      <w:bookmarkStart w:id="78" w:name="_Toc431980024"/>
      <w:r>
        <w:t xml:space="preserve">1. </w:t>
      </w:r>
      <w:r w:rsidR="001D5E53" w:rsidRPr="00ED4E9A">
        <w:t>Les caractéristiques de la surliquidité bancaire en Algérie</w:t>
      </w:r>
      <w:bookmarkEnd w:id="77"/>
      <w:bookmarkEnd w:id="78"/>
    </w:p>
    <w:p w:rsidR="0044342C" w:rsidRDefault="0044342C" w:rsidP="0044342C">
      <w:r>
        <w:t>Le d</w:t>
      </w:r>
      <w:r w:rsidR="001D5E53" w:rsidRPr="007B6050">
        <w:t>élégué général de l’ABEF</w:t>
      </w:r>
      <w:r w:rsidR="001D5E53">
        <w:rPr>
          <w:rStyle w:val="Appelnotedebasdep"/>
          <w:rFonts w:cs="Times New Roman"/>
          <w:szCs w:val="24"/>
        </w:rPr>
        <w:footnoteReference w:id="39"/>
      </w:r>
      <w:r w:rsidR="001D5E53" w:rsidRPr="007B6050">
        <w:t xml:space="preserve">, </w:t>
      </w:r>
      <w:r>
        <w:t>déclare que la surliquidité des banques a atteint environ 50 millions de Dollar</w:t>
      </w:r>
      <w:r w:rsidR="001D5E53" w:rsidRPr="007B6050">
        <w:t xml:space="preserve">. Mais ce sont souvent des fonds destinés à la couverture des opérations à l'étranger. </w:t>
      </w:r>
    </w:p>
    <w:p w:rsidR="001D5E53" w:rsidRDefault="001D5E53" w:rsidP="005104D3">
      <w:r w:rsidRPr="007B6050">
        <w:t xml:space="preserve">Selon </w:t>
      </w:r>
      <w:r>
        <w:t>l</w:t>
      </w:r>
      <w:r w:rsidRPr="007B6050">
        <w:t>e Ministre des Finances</w:t>
      </w:r>
      <w:r>
        <w:rPr>
          <w:rStyle w:val="Appelnotedebasdep"/>
          <w:rFonts w:cs="Times New Roman"/>
          <w:szCs w:val="24"/>
        </w:rPr>
        <w:footnoteReference w:id="40"/>
      </w:r>
      <w:r w:rsidR="0044342C" w:rsidRPr="007B6050">
        <w:t>,</w:t>
      </w:r>
      <w:r w:rsidR="0044342C">
        <w:t xml:space="preserve"> le</w:t>
      </w:r>
      <w:r w:rsidRPr="007B6050">
        <w:t xml:space="preserve"> stoc</w:t>
      </w:r>
      <w:r w:rsidR="0044342C">
        <w:t>k des crédits à l'économie est</w:t>
      </w:r>
      <w:r w:rsidR="00350102">
        <w:t xml:space="preserve"> </w:t>
      </w:r>
      <w:r>
        <w:t>évalué à</w:t>
      </w:r>
      <w:r w:rsidRPr="007B6050">
        <w:t xml:space="preserve"> 2 700 milliards de </w:t>
      </w:r>
      <w:r>
        <w:t>Dinars</w:t>
      </w:r>
      <w:r w:rsidR="0044342C">
        <w:t>, en Septembre 2015</w:t>
      </w:r>
      <w:r w:rsidRPr="007B6050">
        <w:t>. Indiquant que les capitaux des banques ont augmenté durant l'année 2009, ce</w:t>
      </w:r>
      <w:r>
        <w:t xml:space="preserve"> qui </w:t>
      </w:r>
      <w:r w:rsidRPr="007B6050">
        <w:t xml:space="preserve">leur permettra </w:t>
      </w:r>
      <w:r w:rsidR="005104D3">
        <w:t xml:space="preserve">d’accroitre </w:t>
      </w:r>
      <w:r>
        <w:t>le</w:t>
      </w:r>
      <w:r w:rsidRPr="007B6050">
        <w:t xml:space="preserve"> financement </w:t>
      </w:r>
      <w:r>
        <w:t>des</w:t>
      </w:r>
      <w:r w:rsidRPr="007B6050">
        <w:t xml:space="preserve"> PME </w:t>
      </w:r>
    </w:p>
    <w:p w:rsidR="005104D3" w:rsidRDefault="00B45FAD" w:rsidP="00DC2690">
      <w:r>
        <w:t>Le système bancaire algérien</w:t>
      </w:r>
      <w:r w:rsidR="008A33F0">
        <w:t xml:space="preserve"> est caractéris</w:t>
      </w:r>
      <w:r>
        <w:t>é</w:t>
      </w:r>
      <w:r w:rsidR="008A33F0">
        <w:t xml:space="preserve"> par une double surliquidité. Celle des banques ordinai</w:t>
      </w:r>
      <w:r w:rsidR="006156BF">
        <w:t xml:space="preserve">res, qui enregistrent d’importantes </w:t>
      </w:r>
      <w:r w:rsidR="008A33F0">
        <w:t xml:space="preserve"> quantités d’argent oisives, et non destinée à la cré</w:t>
      </w:r>
      <w:r>
        <w:t>ation de la richesse économique</w:t>
      </w:r>
      <w:r w:rsidR="008A33F0">
        <w:t>. Et aussi la surliquidité de la Banque Centrale</w:t>
      </w:r>
      <w:r>
        <w:t xml:space="preserve"> enrichi par de lourdes ré</w:t>
      </w:r>
      <w:r w:rsidR="00DC2690">
        <w:t>serves provenant, d’une part</w:t>
      </w:r>
      <w:r>
        <w:t xml:space="preserve"> </w:t>
      </w:r>
      <w:r w:rsidR="00DC2690">
        <w:t>d</w:t>
      </w:r>
      <w:r>
        <w:t xml:space="preserve">es dépôts des banques ordinaires qui doivent respecter le montant réglementaire des réserves obligatoires, et d’autre part, les réserves de changes alimentées par </w:t>
      </w:r>
      <w:r w:rsidR="00DC2690">
        <w:t>les exportations</w:t>
      </w:r>
      <w:r>
        <w:t xml:space="preserve"> des hydrocarbures.</w:t>
      </w:r>
    </w:p>
    <w:p w:rsidR="005104D3" w:rsidRDefault="005104D3" w:rsidP="006156BF">
      <w:r>
        <w:t>L’économie algérienne est marquée pendant la dernière décennie par le phénomène de surplus de liquidité dans les banques. Mais malgré cela, l’investissement et le financement des entreprises est toujours insuffi</w:t>
      </w:r>
      <w:r w:rsidR="006156BF">
        <w:t>sant, et les banques sont très prudentes</w:t>
      </w:r>
      <w:r>
        <w:t xml:space="preserve"> dans l’</w:t>
      </w:r>
      <w:r w:rsidR="000F5DEB">
        <w:t>octroi des crédits, et cela revient à plusieurs contraintes :</w:t>
      </w:r>
    </w:p>
    <w:p w:rsidR="000F5DEB" w:rsidRDefault="000F5DEB" w:rsidP="000F5DEB">
      <w:r>
        <w:t>D’abord, les banques peuvent se procurer des ressources sans prendre de risques par les rentes hydrocarbures. Donc elles choisissent bien entendu de gagner de l’argent de cette façon avant de risquer dans l’octroi des crédits.</w:t>
      </w:r>
    </w:p>
    <w:p w:rsidR="000F5DEB" w:rsidRDefault="000F5DEB" w:rsidP="005E4959">
      <w:r>
        <w:lastRenderedPageBreak/>
        <w:t>Ensuite, ces institution</w:t>
      </w:r>
      <w:r w:rsidR="005E4959">
        <w:t>s</w:t>
      </w:r>
      <w:r>
        <w:t xml:space="preserve"> ne sont pas suffisamment équipées pour pouvoir déterminer la solvabilité du client, donc elles </w:t>
      </w:r>
      <w:r w:rsidR="005E4959" w:rsidRPr="007B6050">
        <w:t>se base</w:t>
      </w:r>
      <w:r w:rsidR="005E4959">
        <w:t>nt</w:t>
      </w:r>
      <w:r w:rsidR="00387D99">
        <w:t xml:space="preserve"> </w:t>
      </w:r>
      <w:r w:rsidR="005E4959">
        <w:t>beaucoup</w:t>
      </w:r>
      <w:r w:rsidR="00387D99">
        <w:t xml:space="preserve"> </w:t>
      </w:r>
      <w:r w:rsidR="005E4959" w:rsidRPr="007B6050">
        <w:t>plus sur la réputation du client et surtout sur les garanties qu’il peut présenter</w:t>
      </w:r>
      <w:r w:rsidR="005E4959">
        <w:t xml:space="preserve"> au détriment de son business plan. </w:t>
      </w:r>
    </w:p>
    <w:p w:rsidR="005E4959" w:rsidRDefault="005E4959" w:rsidP="005E4959">
      <w:r>
        <w:t xml:space="preserve">Enfin, le dernier </w:t>
      </w:r>
      <w:r w:rsidRPr="007B6050">
        <w:t>obstacle</w:t>
      </w:r>
      <w:r w:rsidRPr="007B6050">
        <w:rPr>
          <w:rFonts w:ascii="MS Mincho" w:eastAsia="MS Mincho" w:hAnsi="MS Mincho" w:cs="MS Mincho" w:hint="eastAsia"/>
        </w:rPr>
        <w:t> </w:t>
      </w:r>
      <w:r>
        <w:t>est dû aux</w:t>
      </w:r>
      <w:r w:rsidRPr="007B6050">
        <w:t xml:space="preserve"> garanties qui deviennent un frein parce que les PME</w:t>
      </w:r>
      <w:r>
        <w:t>/</w:t>
      </w:r>
      <w:r w:rsidRPr="007B6050">
        <w:t>PMI</w:t>
      </w:r>
      <w:r>
        <w:t>,</w:t>
      </w:r>
      <w:r w:rsidRPr="007B6050">
        <w:t xml:space="preserve"> qui constituent plus de 99% des entreprises algériennes, peinent à offrir les garanties réclamées par les banques.</w:t>
      </w:r>
    </w:p>
    <w:p w:rsidR="001D5E53" w:rsidRPr="00142C9B" w:rsidRDefault="001D5E53" w:rsidP="00DC2690">
      <w:pPr>
        <w:pStyle w:val="Titre1"/>
        <w:numPr>
          <w:ilvl w:val="0"/>
          <w:numId w:val="45"/>
        </w:numPr>
      </w:pPr>
      <w:bookmarkStart w:id="79" w:name="_Toc431416593"/>
      <w:bookmarkStart w:id="80" w:name="_Toc431980025"/>
      <w:r w:rsidRPr="00142C9B">
        <w:t>Les conséquences d’une surliquidité bancaire en Algérie</w:t>
      </w:r>
      <w:bookmarkEnd w:id="79"/>
      <w:bookmarkEnd w:id="80"/>
    </w:p>
    <w:p w:rsidR="001D5E53" w:rsidRPr="001F6777" w:rsidRDefault="006036D8" w:rsidP="00597294">
      <w:pPr>
        <w:pStyle w:val="Titre2"/>
      </w:pPr>
      <w:bookmarkStart w:id="81" w:name="_Toc431416594"/>
      <w:bookmarkStart w:id="82" w:name="_Toc431980026"/>
      <w:r>
        <w:t>2</w:t>
      </w:r>
      <w:r w:rsidR="00DC2690">
        <w:t xml:space="preserve">.1 </w:t>
      </w:r>
      <w:r w:rsidR="00597294">
        <w:t xml:space="preserve"> </w:t>
      </w:r>
      <w:r w:rsidR="001D5E53" w:rsidRPr="001F6777">
        <w:t>Sur le plan bancaire</w:t>
      </w:r>
      <w:bookmarkEnd w:id="81"/>
      <w:bookmarkEnd w:id="82"/>
    </w:p>
    <w:p w:rsidR="001D5E53" w:rsidRDefault="001D5E53" w:rsidP="001D5E53">
      <w:r w:rsidRPr="00991B57">
        <w:t xml:space="preserve">Sur le plan bancaire, nous pouvons citer trois principales conséquences : </w:t>
      </w:r>
    </w:p>
    <w:p w:rsidR="00DC2690" w:rsidRDefault="00DC2690" w:rsidP="00DC2690">
      <w:pPr>
        <w:pStyle w:val="Paragraphedeliste"/>
        <w:numPr>
          <w:ilvl w:val="0"/>
          <w:numId w:val="9"/>
        </w:numPr>
      </w:pPr>
      <w:r>
        <w:t>Coûts des ressources non mobilisées ;</w:t>
      </w:r>
    </w:p>
    <w:p w:rsidR="00DC2690" w:rsidRDefault="00DC2690" w:rsidP="00DC2690">
      <w:pPr>
        <w:pStyle w:val="Paragraphedeliste"/>
        <w:numPr>
          <w:ilvl w:val="0"/>
          <w:numId w:val="9"/>
        </w:numPr>
      </w:pPr>
      <w:r>
        <w:t>Diminution des parts de marché ;</w:t>
      </w:r>
    </w:p>
    <w:p w:rsidR="00DC2690" w:rsidRPr="00991B57" w:rsidRDefault="00DC2690" w:rsidP="00DC2690">
      <w:pPr>
        <w:pStyle w:val="Paragraphedeliste"/>
        <w:numPr>
          <w:ilvl w:val="0"/>
          <w:numId w:val="9"/>
        </w:numPr>
      </w:pPr>
      <w:r>
        <w:t>Baisse de la rentabilité.</w:t>
      </w:r>
    </w:p>
    <w:p w:rsidR="001D5E53" w:rsidRPr="00991B57" w:rsidRDefault="001D5E53" w:rsidP="00DC2690">
      <w:pPr>
        <w:pStyle w:val="Titre3"/>
        <w:numPr>
          <w:ilvl w:val="2"/>
          <w:numId w:val="45"/>
        </w:numPr>
      </w:pPr>
      <w:bookmarkStart w:id="83" w:name="_Toc431416595"/>
      <w:bookmarkStart w:id="84" w:name="_Toc431980027"/>
      <w:r>
        <w:t>C</w:t>
      </w:r>
      <w:r w:rsidRPr="00991B57">
        <w:t>oût</w:t>
      </w:r>
      <w:r>
        <w:t>s</w:t>
      </w:r>
      <w:r w:rsidRPr="00991B57">
        <w:t xml:space="preserve"> des ressources non mobilisées</w:t>
      </w:r>
      <w:bookmarkEnd w:id="83"/>
      <w:bookmarkEnd w:id="84"/>
    </w:p>
    <w:p w:rsidR="001D5E53" w:rsidRPr="00991B57" w:rsidRDefault="001D5E53" w:rsidP="001D5E53">
      <w:r w:rsidRPr="00991B57">
        <w:t>Juridiquement</w:t>
      </w:r>
      <w:r>
        <w:t xml:space="preserve"> parlant</w:t>
      </w:r>
      <w:r w:rsidRPr="00991B57">
        <w:t xml:space="preserve">, la banque est définie comme « un établissement qui reçoit du public des dépôts de fonds qu’elle réemploie pour son propre </w:t>
      </w:r>
      <w:r w:rsidR="00D133EF">
        <w:t xml:space="preserve">compte </w:t>
      </w:r>
      <w:r w:rsidRPr="00991B57">
        <w:t>en opération de crédits. »</w:t>
      </w:r>
      <w:r>
        <w:rPr>
          <w:rStyle w:val="Appelnotedebasdep"/>
          <w:rFonts w:cs="Times New Roman"/>
          <w:szCs w:val="24"/>
        </w:rPr>
        <w:footnoteReference w:id="41"/>
      </w:r>
    </w:p>
    <w:p w:rsidR="001D5E53" w:rsidRPr="00991B57" w:rsidRDefault="001D5E53" w:rsidP="001D5E53">
      <w:r w:rsidRPr="0002104C">
        <w:t xml:space="preserve">Les fonds reçus représentent des ressources essentielles pour la banque qui ne sont pas toutes gratuites, notamment les dépôts à terme qui constituent l’instrument le plus classique pour collecter l’épargne liquide donnent à la banque une marge de manœuvres grâce à ses échéances déterminées. </w:t>
      </w:r>
      <w:r w:rsidRPr="00991B57">
        <w:t xml:space="preserve">La banque sert des intérêts aux déposants en contrepartie du blocage, pour une durée bien déterminée, de leur encaisse inactive. </w:t>
      </w:r>
    </w:p>
    <w:p w:rsidR="001D5E53" w:rsidRDefault="00D943B6" w:rsidP="001D5E53">
      <w:r>
        <w:t>Dans le cas de surliquidité, la</w:t>
      </w:r>
      <w:r w:rsidR="001D5E53" w:rsidRPr="00991B57">
        <w:t xml:space="preserve"> banque se trouve confront</w:t>
      </w:r>
      <w:r w:rsidR="001D5E53">
        <w:t>ée</w:t>
      </w:r>
      <w:r w:rsidR="001D5E53" w:rsidRPr="00991B57">
        <w:t xml:space="preserve"> aux coûts élevés des ressources qui </w:t>
      </w:r>
      <w:r w:rsidR="001D5E53">
        <w:t>n’ayant</w:t>
      </w:r>
      <w:r w:rsidR="001D5E53" w:rsidRPr="00991B57">
        <w:t xml:space="preserve"> pas fait objet d’emplois rentables pour la banque et qui peuvent engendrer une marge d’intérêts négative illustrée dans le schéma </w:t>
      </w:r>
      <w:r w:rsidR="001D5E53">
        <w:t xml:space="preserve">n° 2 </w:t>
      </w:r>
      <w:r w:rsidR="001D5E53" w:rsidRPr="00991B57">
        <w:t xml:space="preserve">suivant : </w:t>
      </w:r>
    </w:p>
    <w:p w:rsidR="00590557" w:rsidRDefault="00590557" w:rsidP="00950AFE">
      <w:pPr>
        <w:ind w:firstLine="0"/>
        <w:rPr>
          <w:b/>
        </w:rPr>
      </w:pPr>
    </w:p>
    <w:p w:rsidR="00590557" w:rsidRDefault="00590557" w:rsidP="00950AFE">
      <w:pPr>
        <w:ind w:firstLine="0"/>
        <w:rPr>
          <w:b/>
        </w:rPr>
      </w:pPr>
    </w:p>
    <w:p w:rsidR="00590557" w:rsidRDefault="00590557" w:rsidP="00950AFE">
      <w:pPr>
        <w:ind w:firstLine="0"/>
        <w:rPr>
          <w:b/>
        </w:rPr>
      </w:pPr>
    </w:p>
    <w:p w:rsidR="001D5E53" w:rsidRDefault="00414B94" w:rsidP="00950AFE">
      <w:pPr>
        <w:ind w:firstLine="0"/>
      </w:pPr>
      <w:r>
        <w:rPr>
          <w:b/>
        </w:rPr>
        <w:lastRenderedPageBreak/>
        <w:t>Schéma n°1</w:t>
      </w:r>
      <w:r w:rsidR="001D5E53" w:rsidRPr="009C405B">
        <w:rPr>
          <w:b/>
        </w:rPr>
        <w:t> : Marge d’intérêts négative.</w:t>
      </w:r>
    </w:p>
    <w:p w:rsidR="001D5E53" w:rsidRDefault="00CC0573" w:rsidP="00677822">
      <w:pPr>
        <w:ind w:firstLine="0"/>
        <w:jc w:val="center"/>
        <w:rPr>
          <w:rFonts w:cs="Times New Roman"/>
          <w:noProof/>
          <w:szCs w:val="24"/>
        </w:rPr>
      </w:pPr>
      <w:r>
        <w:rPr>
          <w:rFonts w:cs="Times New Roman"/>
          <w:noProof/>
          <w:szCs w:val="24"/>
        </w:rPr>
        <mc:AlternateContent>
          <mc:Choice Requires="wps">
            <w:drawing>
              <wp:anchor distT="0" distB="0" distL="114300" distR="114300" simplePos="0" relativeHeight="251717632" behindDoc="0" locked="0" layoutInCell="1" allowOverlap="1" wp14:anchorId="4C6C69BB" wp14:editId="76211B66">
                <wp:simplePos x="0" y="0"/>
                <wp:positionH relativeFrom="column">
                  <wp:posOffset>812165</wp:posOffset>
                </wp:positionH>
                <wp:positionV relativeFrom="paragraph">
                  <wp:posOffset>9525</wp:posOffset>
                </wp:positionV>
                <wp:extent cx="4391025" cy="1602105"/>
                <wp:effectExtent l="16510" t="13335" r="21590" b="13335"/>
                <wp:wrapNone/>
                <wp:docPr id="3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91025" cy="1602105"/>
                        </a:xfrm>
                        <a:prstGeom prst="rect">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63.95pt;margin-top:.75pt;width:345.75pt;height:126.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" filled="f" strokecolor="black [3213]" strokeweight="2pt"/>
            </w:pict>
          </mc:Fallback>
        </mc:AlternateContent>
      </w:r>
    </w:p>
    <w:p w:rsidR="00915129" w:rsidRDefault="00CC0573" w:rsidP="00677822">
      <w:pPr>
        <w:ind w:firstLine="0"/>
        <w:jc w:val="center"/>
        <w:rPr>
          <w:rFonts w:cs="Times New Roman"/>
          <w:noProof/>
          <w:szCs w:val="24"/>
        </w:rPr>
      </w:pPr>
      <w:r>
        <w:rPr>
          <w:rFonts w:cs="Times New Roman"/>
          <w:noProof/>
          <w:szCs w:val="24"/>
        </w:rPr>
        <mc:AlternateContent>
          <mc:Choice Requires="wps">
            <w:drawing>
              <wp:anchor distT="0" distB="0" distL="114300" distR="114300" simplePos="0" relativeHeight="251719680" behindDoc="0" locked="0" layoutInCell="1" allowOverlap="1" wp14:anchorId="6F250A8B" wp14:editId="7B126550">
                <wp:simplePos x="0" y="0"/>
                <wp:positionH relativeFrom="column">
                  <wp:posOffset>996315</wp:posOffset>
                </wp:positionH>
                <wp:positionV relativeFrom="paragraph">
                  <wp:posOffset>111760</wp:posOffset>
                </wp:positionV>
                <wp:extent cx="934720" cy="224790"/>
                <wp:effectExtent l="19685" t="45085" r="36195" b="44450"/>
                <wp:wrapNone/>
                <wp:docPr id="33" name="Flèche droit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4720" cy="224790"/>
                        </a:xfrm>
                        <a:prstGeom prst="rightArrow">
                          <a:avLst>
                            <a:gd name="adj1" fmla="val 50000"/>
                            <a:gd name="adj2" fmla="val 59042"/>
                          </a:avLst>
                        </a:prstGeom>
                        <a:solidFill>
                          <a:schemeClr val="lt1">
                            <a:lumMod val="100000"/>
                            <a:lumOff val="0"/>
                          </a:schemeClr>
                        </a:solidFill>
                        <a:ln w="25400">
                          <a:solidFill>
                            <a:schemeClr val="accent6">
                              <a:lumMod val="10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25" o:spid="_x0000_s1026" type="#_x0000_t13" style="position:absolute;margin-left:78.45pt;margin-top:8.8pt;width:73.6pt;height:17.7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" adj="18533" fillcolor="white [3201]" strokecolor="#f79646 [3209]" strokeweight="2pt"/>
            </w:pict>
          </mc:Fallback>
        </mc:AlternateContent>
      </w:r>
      <w:r>
        <w:rPr>
          <w:rFonts w:cs="Times New Roman"/>
          <w:noProof/>
          <w:szCs w:val="24"/>
        </w:rPr>
        <mc:AlternateContent>
          <mc:Choice Requires="wps">
            <w:drawing>
              <wp:anchor distT="0" distB="0" distL="114300" distR="114300" simplePos="0" relativeHeight="251718656" behindDoc="0" locked="0" layoutInCell="1" allowOverlap="1" wp14:anchorId="0BC5A0C8" wp14:editId="37B5CFBB">
                <wp:simplePos x="0" y="0"/>
                <wp:positionH relativeFrom="column">
                  <wp:posOffset>2018030</wp:posOffset>
                </wp:positionH>
                <wp:positionV relativeFrom="paragraph">
                  <wp:posOffset>30480</wp:posOffset>
                </wp:positionV>
                <wp:extent cx="1573530" cy="675005"/>
                <wp:effectExtent l="12700" t="20955" r="13970" b="18415"/>
                <wp:wrapNone/>
                <wp:docPr id="32" name="Ellips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3530" cy="675005"/>
                        </a:xfrm>
                        <a:prstGeom prst="ellipse">
                          <a:avLst/>
                        </a:prstGeom>
                        <a:solidFill>
                          <a:schemeClr val="lt1">
                            <a:lumMod val="100000"/>
                            <a:lumOff val="0"/>
                          </a:schemeClr>
                        </a:solidFill>
                        <a:ln w="25400">
                          <a:solidFill>
                            <a:schemeClr val="dk1">
                              <a:lumMod val="100000"/>
                              <a:lumOff val="0"/>
                            </a:schemeClr>
                          </a:solidFill>
                          <a:round/>
                          <a:headEnd/>
                          <a:tailEnd/>
                        </a:ln>
                      </wps:spPr>
                      <wps:txbx>
                        <w:txbxContent>
                          <w:p w:rsidR="00826CCF" w:rsidRPr="00A50372" w:rsidRDefault="00826CCF" w:rsidP="00A50372">
                            <w:pPr>
                              <w:ind w:firstLine="0"/>
                              <w:jc w:val="center"/>
                              <w:rPr>
                                <w:b/>
                                <w:bCs/>
                                <w:sz w:val="28"/>
                                <w:szCs w:val="28"/>
                              </w:rPr>
                            </w:pPr>
                            <w:r w:rsidRPr="00A50372">
                              <w:rPr>
                                <w:b/>
                                <w:bCs/>
                                <w:sz w:val="28"/>
                                <w:szCs w:val="28"/>
                              </w:rPr>
                              <w:t>La banque</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Ellipse 4" o:spid="_x0000_s1034" style="position:absolute;left:0;text-align:left;margin-left:158.9pt;margin-top:2.4pt;width:123.9pt;height:53.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" fillcolor="white [3201]" strokecolor="black [3200]" strokeweight="2pt">
                <v:textbox>
                  <w:txbxContent>
                    <w:p w:rsidR="00826CCF" w:rsidRPr="00A50372" w:rsidRDefault="00826CCF" w:rsidP="00A50372">
                      <w:pPr>
                        <w:ind w:firstLine="0"/>
                        <w:jc w:val="center"/>
                        <w:rPr>
                          <w:b/>
                          <w:bCs/>
                          <w:sz w:val="28"/>
                          <w:szCs w:val="28"/>
                        </w:rPr>
                      </w:pPr>
                      <w:r w:rsidRPr="00A50372">
                        <w:rPr>
                          <w:b/>
                          <w:bCs/>
                          <w:sz w:val="28"/>
                          <w:szCs w:val="28"/>
                        </w:rPr>
                        <w:t>La banque</w:t>
                      </w:r>
                    </w:p>
                  </w:txbxContent>
                </v:textbox>
              </v:oval>
            </w:pict>
          </mc:Fallback>
        </mc:AlternateContent>
      </w:r>
    </w:p>
    <w:p w:rsidR="00915129" w:rsidRDefault="00CC0573" w:rsidP="00677822">
      <w:pPr>
        <w:ind w:firstLine="0"/>
        <w:jc w:val="center"/>
        <w:rPr>
          <w:rFonts w:cs="Times New Roman"/>
          <w:noProof/>
          <w:szCs w:val="24"/>
        </w:rPr>
      </w:pPr>
      <w:r>
        <w:rPr>
          <w:rFonts w:cs="Times New Roman"/>
          <w:noProof/>
          <w:szCs w:val="24"/>
        </w:rPr>
        <mc:AlternateContent>
          <mc:Choice Requires="wps">
            <w:drawing>
              <wp:anchor distT="0" distB="0" distL="114300" distR="114300" simplePos="0" relativeHeight="251720704" behindDoc="0" locked="0" layoutInCell="1" allowOverlap="1" wp14:anchorId="54EEFFD1" wp14:editId="6FD8C852">
                <wp:simplePos x="0" y="0"/>
                <wp:positionH relativeFrom="column">
                  <wp:posOffset>3591560</wp:posOffset>
                </wp:positionH>
                <wp:positionV relativeFrom="paragraph">
                  <wp:posOffset>6350</wp:posOffset>
                </wp:positionV>
                <wp:extent cx="1382395" cy="502285"/>
                <wp:effectExtent l="14605" t="50165" r="31750" b="47625"/>
                <wp:wrapNone/>
                <wp:docPr id="31" name="Flèche droit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502285"/>
                        </a:xfrm>
                        <a:prstGeom prst="rightArrow">
                          <a:avLst>
                            <a:gd name="adj1" fmla="val 50000"/>
                            <a:gd name="adj2" fmla="val 55465"/>
                          </a:avLst>
                        </a:prstGeom>
                        <a:noFill/>
                        <a:ln w="25400">
                          <a:solidFill>
                            <a:schemeClr val="accent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Flèche droite 26" o:spid="_x0000_s1026" type="#_x0000_t13" style="position:absolute;margin-left:282.8pt;margin-top:.5pt;width:108.85pt;height:39.5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" adj="17247" filled="f" strokecolor="#243f60 [1604]" strokeweight="2pt"/>
            </w:pict>
          </mc:Fallback>
        </mc:AlternateContent>
      </w:r>
      <w:r>
        <w:rPr>
          <w:rFonts w:cs="Times New Roman"/>
          <w:noProof/>
          <w:szCs w:val="24"/>
        </w:rPr>
        <mc:AlternateContent>
          <mc:Choice Requires="wps">
            <w:drawing>
              <wp:anchor distT="0" distB="0" distL="114300" distR="114300" simplePos="0" relativeHeight="251721728" behindDoc="0" locked="0" layoutInCell="1" allowOverlap="1" wp14:anchorId="6A89D1FF" wp14:editId="444A062B">
                <wp:simplePos x="0" y="0"/>
                <wp:positionH relativeFrom="column">
                  <wp:posOffset>971550</wp:posOffset>
                </wp:positionH>
                <wp:positionV relativeFrom="paragraph">
                  <wp:posOffset>212090</wp:posOffset>
                </wp:positionV>
                <wp:extent cx="1148080" cy="377825"/>
                <wp:effectExtent l="4445" t="0" r="0" b="4445"/>
                <wp:wrapNone/>
                <wp:docPr id="30" name="Zone de texte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8080" cy="377825"/>
                        </a:xfrm>
                        <a:prstGeom prst="rect">
                          <a:avLst/>
                        </a:prstGeom>
                        <a:solidFill>
                          <a:schemeClr val="lt1">
                            <a:lumMod val="100000"/>
                            <a:lumOff val="0"/>
                          </a:schemeClr>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826CCF" w:rsidRPr="00915129" w:rsidRDefault="00826CCF" w:rsidP="00623874">
                            <w:pPr>
                              <w:ind w:firstLine="0"/>
                              <w:rPr>
                                <w:b/>
                                <w:bCs/>
                                <w:color w:val="F79646" w:themeColor="accent6"/>
                                <w:sz w:val="22"/>
                              </w:rPr>
                            </w:pPr>
                            <w:r>
                              <w:rPr>
                                <w:b/>
                                <w:bCs/>
                                <w:color w:val="F79646" w:themeColor="accent6"/>
                                <w:sz w:val="22"/>
                              </w:rPr>
                              <w:t xml:space="preserve">Intérêts </w:t>
                            </w:r>
                            <w:r w:rsidRPr="00A50372">
                              <w:rPr>
                                <w:b/>
                                <w:bCs/>
                                <w:color w:val="F79646" w:themeColor="accent6"/>
                                <w:sz w:val="22"/>
                              </w:rPr>
                              <w:t>reçus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8" o:spid="_x0000_s1035" type="#_x0000_t202" style="position:absolute;left:0;text-align:left;margin-left:76.5pt;margin-top:16.7pt;width:90.4pt;height:29.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" fillcolor="white [3201]" stroked="f" strokeweight="2pt">
                <v:textbox>
                  <w:txbxContent>
                    <w:p w:rsidR="00826CCF" w:rsidRPr="00915129" w:rsidRDefault="00826CCF" w:rsidP="00623874">
                      <w:pPr>
                        <w:ind w:firstLine="0"/>
                        <w:rPr>
                          <w:b/>
                          <w:bCs/>
                          <w:color w:val="F79646" w:themeColor="accent6"/>
                          <w:sz w:val="22"/>
                        </w:rPr>
                      </w:pPr>
                      <w:r>
                        <w:rPr>
                          <w:b/>
                          <w:bCs/>
                          <w:color w:val="F79646" w:themeColor="accent6"/>
                          <w:sz w:val="22"/>
                        </w:rPr>
                        <w:t xml:space="preserve">Intérêts </w:t>
                      </w:r>
                      <w:r w:rsidRPr="00A50372">
                        <w:rPr>
                          <w:b/>
                          <w:bCs/>
                          <w:color w:val="F79646" w:themeColor="accent6"/>
                          <w:sz w:val="22"/>
                        </w:rPr>
                        <w:t>reçus</w:t>
                      </w:r>
                    </w:p>
                  </w:txbxContent>
                </v:textbox>
              </v:shape>
            </w:pict>
          </mc:Fallback>
        </mc:AlternateContent>
      </w:r>
    </w:p>
    <w:p w:rsidR="00915129" w:rsidRDefault="00CC0573" w:rsidP="00677822">
      <w:pPr>
        <w:ind w:firstLine="0"/>
        <w:jc w:val="center"/>
        <w:rPr>
          <w:rFonts w:cs="Times New Roman"/>
          <w:noProof/>
          <w:szCs w:val="24"/>
        </w:rPr>
      </w:pPr>
      <w:r>
        <w:rPr>
          <w:rFonts w:cs="Times New Roman"/>
          <w:noProof/>
          <w:szCs w:val="24"/>
        </w:rPr>
        <mc:AlternateContent>
          <mc:Choice Requires="wps">
            <w:drawing>
              <wp:anchor distT="0" distB="0" distL="114300" distR="114300" simplePos="0" relativeHeight="251722752" behindDoc="0" locked="0" layoutInCell="1" allowOverlap="1" wp14:anchorId="66DB73FD" wp14:editId="0BFD9EFC">
                <wp:simplePos x="0" y="0"/>
                <wp:positionH relativeFrom="column">
                  <wp:posOffset>3597910</wp:posOffset>
                </wp:positionH>
                <wp:positionV relativeFrom="paragraph">
                  <wp:posOffset>141605</wp:posOffset>
                </wp:positionV>
                <wp:extent cx="1158875" cy="399415"/>
                <wp:effectExtent l="1905" t="635" r="1270" b="0"/>
                <wp:wrapNone/>
                <wp:docPr id="29" name="Zone de texte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8875" cy="399415"/>
                        </a:xfrm>
                        <a:prstGeom prst="rect">
                          <a:avLst/>
                        </a:prstGeom>
                        <a:solidFill>
                          <a:schemeClr val="lt1">
                            <a:lumMod val="100000"/>
                            <a:lumOff val="0"/>
                          </a:scheme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826CCF" w:rsidRPr="00A50372" w:rsidRDefault="00826CCF" w:rsidP="00915129">
                            <w:pPr>
                              <w:ind w:firstLine="0"/>
                              <w:rPr>
                                <w:b/>
                                <w:color w:val="4F81BD" w:themeColor="accent1"/>
                              </w:rPr>
                            </w:pPr>
                            <w:r w:rsidRPr="00A50372">
                              <w:rPr>
                                <w:b/>
                                <w:color w:val="4F81BD" w:themeColor="accent1"/>
                              </w:rPr>
                              <w:t>Intérêts versés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29" o:spid="_x0000_s1036" type="#_x0000_t202" style="position:absolute;left:0;text-align:left;margin-left:283.3pt;margin-top:11.15pt;width:91.25pt;height:31.4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" fillcolor="white [3201]" stroked="f" strokeweight=".5pt">
                <v:textbox>
                  <w:txbxContent>
                    <w:p w:rsidR="00826CCF" w:rsidRPr="00A50372" w:rsidRDefault="00826CCF" w:rsidP="00915129">
                      <w:pPr>
                        <w:ind w:firstLine="0"/>
                        <w:rPr>
                          <w:b/>
                          <w:color w:val="4F81BD" w:themeColor="accent1"/>
                        </w:rPr>
                      </w:pPr>
                      <w:r w:rsidRPr="00A50372">
                        <w:rPr>
                          <w:b/>
                          <w:color w:val="4F81BD" w:themeColor="accent1"/>
                        </w:rPr>
                        <w:t>Intérêts versés</w:t>
                      </w:r>
                    </w:p>
                  </w:txbxContent>
                </v:textbox>
              </v:shape>
            </w:pict>
          </mc:Fallback>
        </mc:AlternateContent>
      </w:r>
    </w:p>
    <w:p w:rsidR="00915129" w:rsidRDefault="00915129" w:rsidP="00A50372">
      <w:pPr>
        <w:spacing w:line="240" w:lineRule="auto"/>
        <w:ind w:firstLine="0"/>
        <w:jc w:val="center"/>
        <w:rPr>
          <w:rFonts w:cs="Times New Roman"/>
          <w:noProof/>
          <w:szCs w:val="24"/>
        </w:rPr>
      </w:pPr>
    </w:p>
    <w:p w:rsidR="00A50372" w:rsidRPr="00A50372" w:rsidRDefault="00A50372" w:rsidP="009F5D36">
      <w:pPr>
        <w:spacing w:line="240" w:lineRule="auto"/>
        <w:ind w:firstLine="0"/>
        <w:jc w:val="center"/>
        <w:rPr>
          <w:rFonts w:cs="Times New Roman"/>
          <w:sz w:val="20"/>
          <w:szCs w:val="20"/>
        </w:rPr>
      </w:pPr>
      <w:r w:rsidRPr="00A50372">
        <w:rPr>
          <w:rFonts w:cs="Times New Roman"/>
          <w:sz w:val="20"/>
          <w:szCs w:val="20"/>
        </w:rPr>
        <w:t>Source : Schéma réalisé par nous-mêmes</w:t>
      </w:r>
    </w:p>
    <w:p w:rsidR="001D5E53" w:rsidRPr="00991B57" w:rsidRDefault="00597294" w:rsidP="00D943B6">
      <w:pPr>
        <w:pStyle w:val="Titre3"/>
        <w:numPr>
          <w:ilvl w:val="2"/>
          <w:numId w:val="45"/>
        </w:numPr>
      </w:pPr>
      <w:bookmarkStart w:id="85" w:name="_Toc431416596"/>
      <w:bookmarkStart w:id="86" w:name="_Toc431980028"/>
      <w:r>
        <w:t>D</w:t>
      </w:r>
      <w:r w:rsidR="001D5E53" w:rsidRPr="00991B57">
        <w:t>iminution des parts de marché</w:t>
      </w:r>
      <w:bookmarkEnd w:id="85"/>
      <w:bookmarkEnd w:id="86"/>
    </w:p>
    <w:p w:rsidR="001D5E53" w:rsidRPr="00991B57" w:rsidRDefault="001D5E53" w:rsidP="001D5E53">
      <w:r w:rsidRPr="00991B57">
        <w:t>La réticence en matière d’octroi de crédit, se présent</w:t>
      </w:r>
      <w:r>
        <w:t>ant</w:t>
      </w:r>
      <w:r w:rsidRPr="00991B57">
        <w:t xml:space="preserve"> comme un facteur fondamental de la surliquidité</w:t>
      </w:r>
      <w:r>
        <w:t xml:space="preserve">, </w:t>
      </w:r>
      <w:r w:rsidRPr="00991B57">
        <w:t>engendre une perte d’un segment de client non satisfait par les refus d’accords de crédits par la banque. Cette dernière va constater la diminution de ses parts de marché produite par la mauvaise gestion de sa liquidité.</w:t>
      </w:r>
    </w:p>
    <w:p w:rsidR="001D5E53" w:rsidRPr="00991B57" w:rsidRDefault="001D5E53" w:rsidP="00D943B6">
      <w:pPr>
        <w:pStyle w:val="Titre3"/>
        <w:numPr>
          <w:ilvl w:val="2"/>
          <w:numId w:val="45"/>
        </w:numPr>
      </w:pPr>
      <w:bookmarkStart w:id="87" w:name="_Toc431416597"/>
      <w:bookmarkStart w:id="88" w:name="_Toc431980029"/>
      <w:r>
        <w:t>B</w:t>
      </w:r>
      <w:r w:rsidRPr="00991B57">
        <w:t>aisse de la rentabilité</w:t>
      </w:r>
      <w:bookmarkEnd w:id="87"/>
      <w:bookmarkEnd w:id="88"/>
    </w:p>
    <w:p w:rsidR="001D5E53" w:rsidRPr="00991B57" w:rsidRDefault="001D5E53" w:rsidP="001D5E53">
      <w:r w:rsidRPr="00991B57">
        <w:t>Une marge d’intérêt négative suivie d’une part de marché faible, affecte d’une manière systématique la rentabilité bancaire.</w:t>
      </w:r>
      <w:r w:rsidR="00EA4091">
        <w:t xml:space="preserve"> </w:t>
      </w:r>
      <w:r w:rsidRPr="00991B57">
        <w:t xml:space="preserve">Comme l’a montré le schéma précédent, (schéma n°2), les charges au niveau de la banque seront élevées, dues à cette surliquidité non fructifiée qui engendre des flux d’intérêts sortants importants par rapports aux intérêts reçus, qui sont des produits indispensables de la banque. </w:t>
      </w:r>
    </w:p>
    <w:p w:rsidR="001D5E53" w:rsidRPr="00991B57" w:rsidRDefault="00495A6A" w:rsidP="001D5E53">
      <w:pPr>
        <w:pStyle w:val="Titre2"/>
      </w:pPr>
      <w:bookmarkStart w:id="89" w:name="_Toc431416598"/>
      <w:bookmarkStart w:id="90" w:name="_Toc431980030"/>
      <w:r>
        <w:t>2</w:t>
      </w:r>
      <w:r w:rsidR="00D943B6">
        <w:t xml:space="preserve">.2 </w:t>
      </w:r>
      <w:r w:rsidR="001D5E53" w:rsidRPr="00991B57">
        <w:t xml:space="preserve"> Sur le plan économique</w:t>
      </w:r>
      <w:bookmarkEnd w:id="89"/>
      <w:bookmarkEnd w:id="90"/>
    </w:p>
    <w:p w:rsidR="001D5E53" w:rsidRPr="00991B57" w:rsidRDefault="001D5E53" w:rsidP="001D5E53">
      <w:r w:rsidRPr="00991B57">
        <w:t xml:space="preserve">L’impact d’une surliquidité bancaire est important dans une économie d’endettement où l’essentiel des financements transite par le canal bancaire et ayant comme caractéristique principale la prédominance de la finance indirecte. Dans une économie de marché financier, l’effet de la surliquidité est moins grave dû au faible rôle des intermédiaires financiers, notamment les banques dans le financement de l’économie. Parmi les effets de la surliquidité sur l’économie, on trouve : </w:t>
      </w:r>
    </w:p>
    <w:p w:rsidR="001D5E53" w:rsidRPr="00991B57" w:rsidRDefault="00CD4CA3" w:rsidP="00495A6A">
      <w:pPr>
        <w:pStyle w:val="Titre3"/>
        <w:numPr>
          <w:ilvl w:val="0"/>
          <w:numId w:val="0"/>
        </w:numPr>
        <w:ind w:left="360"/>
      </w:pPr>
      <w:bookmarkStart w:id="91" w:name="_Toc431416599"/>
      <w:bookmarkStart w:id="92" w:name="_Toc431980031"/>
      <w:r>
        <w:t>2.2.1</w:t>
      </w:r>
      <w:r w:rsidR="001D5E53" w:rsidRPr="00991B57">
        <w:t xml:space="preserve"> Baisse des investissements</w:t>
      </w:r>
      <w:bookmarkEnd w:id="91"/>
      <w:bookmarkEnd w:id="92"/>
    </w:p>
    <w:p w:rsidR="001D5E53" w:rsidRPr="00991B57" w:rsidRDefault="001D5E53" w:rsidP="001D5E53">
      <w:r w:rsidRPr="00991B57">
        <w:t xml:space="preserve">Dans une économie d’endettement, la banque joue un rôle majeur dans le financement de l’économie, le crédit constitue une source privilégiée de fonds pour les entreprises. </w:t>
      </w:r>
    </w:p>
    <w:p w:rsidR="001D5E53" w:rsidRPr="00991B57" w:rsidRDefault="001D5E53" w:rsidP="001D5E53">
      <w:r w:rsidRPr="00991B57">
        <w:lastRenderedPageBreak/>
        <w:t>Une surliquidité bancaire reflète une baisse des emplois des banques se tradui</w:t>
      </w:r>
      <w:r>
        <w:t>san</w:t>
      </w:r>
      <w:r w:rsidRPr="00991B57">
        <w:t xml:space="preserve">t par un faible accord de crédits qui prive les banques les entreprises des fonds nécessaires pour leur activité d’exploitation et d’investissements. </w:t>
      </w:r>
    </w:p>
    <w:p w:rsidR="001D5E53" w:rsidRPr="00991B57" w:rsidRDefault="00CD4CA3" w:rsidP="00495A6A">
      <w:pPr>
        <w:pStyle w:val="Titre3"/>
        <w:numPr>
          <w:ilvl w:val="0"/>
          <w:numId w:val="0"/>
        </w:numPr>
        <w:ind w:left="360"/>
      </w:pPr>
      <w:bookmarkStart w:id="93" w:name="_Toc431416600"/>
      <w:bookmarkStart w:id="94" w:name="_Toc431980032"/>
      <w:r>
        <w:t>2.2.2</w:t>
      </w:r>
      <w:r w:rsidR="00495A6A">
        <w:t xml:space="preserve"> </w:t>
      </w:r>
      <w:r w:rsidR="001D5E53" w:rsidRPr="00991B57">
        <w:t xml:space="preserve"> </w:t>
      </w:r>
      <w:r w:rsidR="001D5E53">
        <w:t>L</w:t>
      </w:r>
      <w:r w:rsidR="001D5E53" w:rsidRPr="00991B57">
        <w:t>e chômage</w:t>
      </w:r>
      <w:bookmarkEnd w:id="93"/>
      <w:bookmarkEnd w:id="94"/>
    </w:p>
    <w:p w:rsidR="001D5E53" w:rsidRPr="00991B57" w:rsidRDefault="001D5E53" w:rsidP="001D5E53">
      <w:r w:rsidRPr="00991B57">
        <w:t xml:space="preserve">La dépendance des entreprises des banques, comme seule source de financement, engendre une baisse de l’investissement provoquée par l’insatisfaction des demandes des entreprises en matière de crédits. Cette situation mène à une offre faible d’emplois et même à des licenciements par les entreprises de leurs employés qui se terminent par une augmentation du niveau de chômage. </w:t>
      </w:r>
    </w:p>
    <w:p w:rsidR="001D5E53" w:rsidRPr="00991B57" w:rsidRDefault="00CD4CA3" w:rsidP="00495A6A">
      <w:pPr>
        <w:pStyle w:val="Titre3"/>
        <w:numPr>
          <w:ilvl w:val="0"/>
          <w:numId w:val="0"/>
        </w:numPr>
        <w:ind w:left="360"/>
      </w:pPr>
      <w:bookmarkStart w:id="95" w:name="_Toc431416601"/>
      <w:bookmarkStart w:id="96" w:name="_Toc431980033"/>
      <w:r>
        <w:t>2.2.3</w:t>
      </w:r>
      <w:r w:rsidR="00495A6A">
        <w:t xml:space="preserve"> </w:t>
      </w:r>
      <w:r w:rsidR="001D5E53">
        <w:t>L</w:t>
      </w:r>
      <w:r w:rsidR="001D5E53" w:rsidRPr="00991B57">
        <w:t>’ampleur de l’informel</w:t>
      </w:r>
      <w:bookmarkEnd w:id="95"/>
      <w:bookmarkEnd w:id="96"/>
    </w:p>
    <w:p w:rsidR="001D5E53" w:rsidRPr="00991B57" w:rsidRDefault="001D5E53" w:rsidP="001D5E53">
      <w:r w:rsidRPr="00991B57">
        <w:t>Pour pouvoir trouver des fonds nécessaires et satisfaire leurs demandes de financement, les entreprises recourent à l’informel comme seule alternative après la réticence bancaire et l’inefficience ou l’inexistence du marché financier. Cette situatio</w:t>
      </w:r>
      <w:r>
        <w:t xml:space="preserve">n engendre </w:t>
      </w:r>
      <w:r w:rsidRPr="00991B57">
        <w:t>des effets négati</w:t>
      </w:r>
      <w:r>
        <w:t>fs</w:t>
      </w:r>
      <w:r w:rsidRPr="00991B57">
        <w:t xml:space="preserve"> sur l’économie </w:t>
      </w:r>
      <w:r>
        <w:t>nationale</w:t>
      </w:r>
      <w:r w:rsidRPr="00991B57">
        <w:t xml:space="preserve">, on cite notamment : </w:t>
      </w:r>
    </w:p>
    <w:p w:rsidR="001D5E53" w:rsidRPr="001248C9" w:rsidRDefault="00CD4CA3" w:rsidP="00495A6A">
      <w:pPr>
        <w:pStyle w:val="Titre3"/>
        <w:numPr>
          <w:ilvl w:val="0"/>
          <w:numId w:val="0"/>
        </w:numPr>
        <w:ind w:left="360"/>
      </w:pPr>
      <w:bookmarkStart w:id="97" w:name="_Toc431416602"/>
      <w:bookmarkStart w:id="98" w:name="_Toc431980034"/>
      <w:r>
        <w:t>2.2.4</w:t>
      </w:r>
      <w:r w:rsidR="00495A6A">
        <w:t xml:space="preserve"> </w:t>
      </w:r>
      <w:r w:rsidR="001D5E53" w:rsidRPr="001248C9">
        <w:t>La baisse des recettes de l’Etat</w:t>
      </w:r>
      <w:bookmarkEnd w:id="97"/>
      <w:bookmarkEnd w:id="98"/>
    </w:p>
    <w:p w:rsidR="001D5E53" w:rsidRPr="00991B57" w:rsidRDefault="001D5E53" w:rsidP="001D5E53">
      <w:r w:rsidRPr="00991B57">
        <w:t xml:space="preserve">« Parmi les conséquences de l’économie informelle, priver les pouvoirs publics de revenus importants ».En effet, il est évident que l’informel donne lieu à l’évasion fiscale généralisée, </w:t>
      </w:r>
      <w:r>
        <w:t>au</w:t>
      </w:r>
      <w:r w:rsidRPr="00991B57">
        <w:t xml:space="preserve"> mépris des lois. Ceci </w:t>
      </w:r>
      <w:r>
        <w:t>diminue</w:t>
      </w:r>
      <w:r w:rsidRPr="00991B57">
        <w:t xml:space="preserve"> la légitimité de l’Etat et contribue à la baisse de l’efficacité de l’action administrative. </w:t>
      </w:r>
      <w:r>
        <w:t>En effet, l</w:t>
      </w:r>
      <w:r w:rsidRPr="00991B57">
        <w:t>orsque, le secteur formel est moins développé que le model informel</w:t>
      </w:r>
      <w:r w:rsidR="001D6EBA">
        <w:t xml:space="preserve"> </w:t>
      </w:r>
      <w:r w:rsidRPr="00991B57">
        <w:t xml:space="preserve">dans un pays, cela dénote la faillite de l’Etat, du moins son incapacité à assurer la promotion des activités économiques, et donc, le développement du pays. </w:t>
      </w:r>
    </w:p>
    <w:p w:rsidR="001D5E53" w:rsidRPr="00991B57" w:rsidRDefault="00CD4CA3" w:rsidP="00CD4CA3">
      <w:pPr>
        <w:pStyle w:val="Titre3"/>
        <w:numPr>
          <w:ilvl w:val="0"/>
          <w:numId w:val="0"/>
        </w:numPr>
        <w:ind w:left="360"/>
      </w:pPr>
      <w:bookmarkStart w:id="99" w:name="_Toc431416603"/>
      <w:bookmarkStart w:id="100" w:name="_Toc431980035"/>
      <w:r>
        <w:t>2.2.5</w:t>
      </w:r>
      <w:r w:rsidR="001D5E53" w:rsidRPr="00991B57">
        <w:t xml:space="preserve">L'instabilité </w:t>
      </w:r>
      <w:r w:rsidR="001D5E53">
        <w:t>a</w:t>
      </w:r>
      <w:r w:rsidR="001D5E53" w:rsidRPr="00991B57">
        <w:t xml:space="preserve">u </w:t>
      </w:r>
      <w:r w:rsidR="001D5E53">
        <w:t>n</w:t>
      </w:r>
      <w:r w:rsidR="001D5E53" w:rsidRPr="00991B57">
        <w:t xml:space="preserve">iveau </w:t>
      </w:r>
      <w:r w:rsidR="001D5E53">
        <w:t>d</w:t>
      </w:r>
      <w:r w:rsidR="001D5E53" w:rsidRPr="00991B57">
        <w:t xml:space="preserve">es </w:t>
      </w:r>
      <w:r w:rsidR="001D5E53">
        <w:t>p</w:t>
      </w:r>
      <w:r w:rsidR="001D5E53" w:rsidRPr="00991B57">
        <w:t>rix</w:t>
      </w:r>
      <w:bookmarkEnd w:id="99"/>
      <w:bookmarkEnd w:id="100"/>
    </w:p>
    <w:p w:rsidR="001D5E53" w:rsidRPr="00991B57" w:rsidRDefault="001D5E53" w:rsidP="001D5E53">
      <w:pPr>
        <w:rPr>
          <w:b/>
          <w:bCs/>
        </w:rPr>
      </w:pPr>
      <w:r w:rsidRPr="00991B57">
        <w:t>La surliquidité crée une instabilité au niveau des prix des différents produits entrainant ainsi les tendances inflationnistes. En effet, lorsqu'une banque dispos</w:t>
      </w:r>
      <w:r>
        <w:t>e</w:t>
      </w:r>
      <w:r w:rsidRPr="00991B57">
        <w:t xml:space="preserve"> de liquidités excessives, elle a tendance à financer sans contrôle préalable. En cas de non remboursement, la monnaie créée devient ainsi toxique pour l'économie ; elle vient ainsi gonfler anormalement la masse monétaire entrainant l'inflation</w:t>
      </w:r>
      <w:r>
        <w:rPr>
          <w:rStyle w:val="Appelnotedebasdep"/>
          <w:rFonts w:cs="Times New Roman"/>
          <w:szCs w:val="24"/>
        </w:rPr>
        <w:footnoteReference w:id="42"/>
      </w:r>
      <w:r w:rsidRPr="00991B57">
        <w:t>.</w:t>
      </w:r>
    </w:p>
    <w:p w:rsidR="001D5E53" w:rsidRPr="00991B57" w:rsidRDefault="00CD4CA3" w:rsidP="00597294">
      <w:pPr>
        <w:pStyle w:val="Titre2"/>
        <w:ind w:left="0" w:firstLine="0"/>
      </w:pPr>
      <w:bookmarkStart w:id="101" w:name="_Toc431416604"/>
      <w:bookmarkStart w:id="102" w:name="_Toc431980036"/>
      <w:r>
        <w:lastRenderedPageBreak/>
        <w:t>2</w:t>
      </w:r>
      <w:r w:rsidR="00977420">
        <w:t xml:space="preserve">.3 </w:t>
      </w:r>
      <w:r w:rsidR="001D5E53" w:rsidRPr="00991B57">
        <w:t>Autres conséquences économiques</w:t>
      </w:r>
      <w:bookmarkEnd w:id="101"/>
      <w:bookmarkEnd w:id="102"/>
    </w:p>
    <w:p w:rsidR="001D5E53" w:rsidRPr="00991B57" w:rsidRDefault="001D5E53" w:rsidP="001D5E53">
      <w:r w:rsidRPr="00991B57">
        <w:t>L’informel conduit, entre autre, au développement du marché de change non officiel avec son corollaire le non rapatriement des devises provenant des activités d’exploitations frauduleuses, la thésaurisation, la non-ma</w:t>
      </w:r>
      <w:r>
        <w:t>î</w:t>
      </w:r>
      <w:r w:rsidRPr="00991B57">
        <w:t>trise des stocks de production condui</w:t>
      </w:r>
      <w:r>
        <w:t>san</w:t>
      </w:r>
      <w:r w:rsidRPr="00991B57">
        <w:t xml:space="preserve">t à la fixation des prix fantaisiste. Tout ceux-ci contribuent au dérèglement des fondations de l’économie nationale. </w:t>
      </w:r>
    </w:p>
    <w:p w:rsidR="00667B65" w:rsidRDefault="00667B65" w:rsidP="001D5E53"/>
    <w:p w:rsidR="001D5E53" w:rsidRDefault="001D5E53" w:rsidP="001D5E53">
      <w:r w:rsidRPr="00991B57">
        <w:t xml:space="preserve">Dans ce qui suit, nous allons schématiser les conséquences d’une surliquidité sur le plan économique et bancaire : </w:t>
      </w:r>
    </w:p>
    <w:p w:rsidR="001D5E53" w:rsidRDefault="001D5E53" w:rsidP="00414B94">
      <w:pPr>
        <w:ind w:firstLine="0"/>
        <w:rPr>
          <w:rFonts w:cs="Times New Roman"/>
          <w:b/>
          <w:bCs/>
          <w:szCs w:val="24"/>
        </w:rPr>
      </w:pPr>
      <w:r w:rsidRPr="00545BEF">
        <w:rPr>
          <w:rFonts w:cs="Times New Roman"/>
          <w:b/>
          <w:bCs/>
          <w:szCs w:val="24"/>
        </w:rPr>
        <w:t>Schéma n°</w:t>
      </w:r>
      <w:r w:rsidR="00414B94">
        <w:rPr>
          <w:rFonts w:cs="Times New Roman"/>
          <w:b/>
          <w:bCs/>
          <w:szCs w:val="24"/>
        </w:rPr>
        <w:t>2</w:t>
      </w:r>
      <w:r w:rsidRPr="00545BEF">
        <w:rPr>
          <w:rFonts w:cs="Times New Roman"/>
          <w:b/>
          <w:bCs/>
          <w:szCs w:val="24"/>
        </w:rPr>
        <w:t> : Impact de la surliquidité bancaire</w:t>
      </w:r>
      <w:r>
        <w:rPr>
          <w:rFonts w:cs="Times New Roman"/>
          <w:b/>
          <w:bCs/>
          <w:szCs w:val="24"/>
        </w:rPr>
        <w:t xml:space="preserve">. </w:t>
      </w:r>
    </w:p>
    <w:p w:rsidR="004018B7" w:rsidRDefault="00CC0573" w:rsidP="00664FFF">
      <w:pPr>
        <w:ind w:firstLine="0"/>
        <w:rPr>
          <w:rFonts w:cs="Times New Roman"/>
          <w:b/>
          <w:bCs/>
          <w:szCs w:val="24"/>
        </w:rPr>
      </w:pPr>
      <w:r>
        <w:rPr>
          <w:rFonts w:cs="Times New Roman"/>
          <w:noProof/>
          <w:szCs w:val="28"/>
        </w:rPr>
        <mc:AlternateContent>
          <mc:Choice Requires="wps">
            <w:drawing>
              <wp:anchor distT="0" distB="0" distL="114300" distR="114300" simplePos="0" relativeHeight="251694080" behindDoc="0" locked="0" layoutInCell="1" allowOverlap="1" wp14:anchorId="070CBD40" wp14:editId="0EC4ED0F">
                <wp:simplePos x="0" y="0"/>
                <wp:positionH relativeFrom="column">
                  <wp:posOffset>2076450</wp:posOffset>
                </wp:positionH>
                <wp:positionV relativeFrom="paragraph">
                  <wp:posOffset>3203575</wp:posOffset>
                </wp:positionV>
                <wp:extent cx="3633470" cy="309880"/>
                <wp:effectExtent l="0" t="0" r="5080" b="0"/>
                <wp:wrapNone/>
                <wp:docPr id="58" name="Zone de texte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33470" cy="3098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26CCF" w:rsidRPr="00A252FC" w:rsidRDefault="00826CCF" w:rsidP="004018B7">
                            <w:pPr>
                              <w:ind w:firstLine="0"/>
                              <w:jc w:val="right"/>
                              <w:rPr>
                                <w:sz w:val="20"/>
                                <w:szCs w:val="20"/>
                              </w:rPr>
                            </w:pPr>
                            <w:r w:rsidRPr="00A252FC">
                              <w:rPr>
                                <w:sz w:val="20"/>
                                <w:szCs w:val="20"/>
                              </w:rPr>
                              <w:t>Source : réalisé par nous-mêmes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Zone de texte 58" o:spid="_x0000_s1037" type="#_x0000_t202" style="position:absolute;left:0;text-align:left;margin-left:163.5pt;margin-top:252.25pt;width:286.1pt;height:24.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" fillcolor="white [3201]" stroked="f" strokeweight=".5pt">
                <v:path arrowok="t"/>
                <v:textbox>
                  <w:txbxContent>
                    <w:p w:rsidR="00826CCF" w:rsidRPr="00A252FC" w:rsidRDefault="00826CCF" w:rsidP="004018B7">
                      <w:pPr>
                        <w:ind w:firstLine="0"/>
                        <w:jc w:val="right"/>
                        <w:rPr>
                          <w:sz w:val="20"/>
                          <w:szCs w:val="20"/>
                        </w:rPr>
                      </w:pPr>
                      <w:r w:rsidRPr="00A252FC">
                        <w:rPr>
                          <w:sz w:val="20"/>
                          <w:szCs w:val="20"/>
                        </w:rPr>
                        <w:t>Source : réalisé par nous-mêmes</w:t>
                      </w:r>
                    </w:p>
                  </w:txbxContent>
                </v:textbox>
              </v:shape>
            </w:pict>
          </mc:Fallback>
        </mc:AlternateContent>
      </w:r>
      <w:r w:rsidR="00C16445" w:rsidRPr="00F319DE">
        <w:rPr>
          <w:rFonts w:asciiTheme="majorBidi" w:hAnsiTheme="majorBidi" w:cstheme="majorBidi"/>
          <w:noProof/>
        </w:rPr>
        <w:drawing>
          <wp:inline distT="0" distB="0" distL="0" distR="0" wp14:anchorId="33C723C1" wp14:editId="79B36BA4">
            <wp:extent cx="5760720" cy="3237265"/>
            <wp:effectExtent l="0" t="0" r="0" b="127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60720" cy="3237265"/>
                    </a:xfrm>
                    <a:prstGeom prst="rect">
                      <a:avLst/>
                    </a:prstGeom>
                    <a:noFill/>
                    <a:ln>
                      <a:noFill/>
                    </a:ln>
                  </pic:spPr>
                </pic:pic>
              </a:graphicData>
            </a:graphic>
          </wp:inline>
        </w:drawing>
      </w:r>
    </w:p>
    <w:p w:rsidR="00C16445" w:rsidRDefault="00C16445" w:rsidP="004018B7">
      <w:pPr>
        <w:pStyle w:val="Titre1"/>
      </w:pPr>
    </w:p>
    <w:p w:rsidR="006023F3" w:rsidRDefault="006023F3" w:rsidP="004018B7">
      <w:pPr>
        <w:pStyle w:val="Titre1"/>
      </w:pPr>
    </w:p>
    <w:p w:rsidR="006023F3" w:rsidRDefault="006023F3" w:rsidP="004018B7">
      <w:pPr>
        <w:pStyle w:val="Titre1"/>
      </w:pPr>
    </w:p>
    <w:p w:rsidR="006023F3" w:rsidRDefault="006023F3" w:rsidP="004018B7">
      <w:pPr>
        <w:pStyle w:val="Titre1"/>
      </w:pPr>
    </w:p>
    <w:p w:rsidR="006023F3" w:rsidRDefault="006023F3" w:rsidP="004018B7">
      <w:pPr>
        <w:pStyle w:val="Titre1"/>
      </w:pPr>
    </w:p>
    <w:p w:rsidR="001D5E53" w:rsidRDefault="001D5E53" w:rsidP="004018B7">
      <w:pPr>
        <w:pStyle w:val="Titre1"/>
      </w:pPr>
      <w:bookmarkStart w:id="103" w:name="_Toc431980037"/>
      <w:r>
        <w:lastRenderedPageBreak/>
        <w:t>Conclusion :</w:t>
      </w:r>
      <w:bookmarkEnd w:id="103"/>
    </w:p>
    <w:p w:rsidR="006023F3" w:rsidRPr="006023F3" w:rsidRDefault="00D622AF" w:rsidP="00D622AF">
      <w:r>
        <w:t>L</w:t>
      </w:r>
      <w:r w:rsidR="006023F3" w:rsidRPr="006023F3">
        <w:t xml:space="preserve">es différents indicateurs que nous avons utilisés et tous les ratios calculés valident l’existence de la surliquidité bancaire en Algérie, et la dépendance totale de l’économie nationale des ressources hydrocarbures. Ce qui valide </w:t>
      </w:r>
      <w:r>
        <w:t>la première hypothèse.</w:t>
      </w:r>
    </w:p>
    <w:p w:rsidR="006023F3" w:rsidRPr="006023F3" w:rsidRDefault="00D622AF" w:rsidP="00D622AF">
      <w:r>
        <w:rPr>
          <w:rFonts w:cs="Times New Roman"/>
          <w:szCs w:val="24"/>
        </w:rPr>
        <w:t xml:space="preserve">Par ailleurs, </w:t>
      </w:r>
      <w:r w:rsidR="006023F3" w:rsidRPr="006023F3">
        <w:rPr>
          <w:rFonts w:cs="Times New Roman"/>
          <w:szCs w:val="24"/>
        </w:rPr>
        <w:t>nous avons pu cerner d’abord les caractéristiques de l’effet structurel,</w:t>
      </w:r>
      <w:r>
        <w:rPr>
          <w:rFonts w:cs="Times New Roman"/>
          <w:szCs w:val="24"/>
        </w:rPr>
        <w:t xml:space="preserve"> et</w:t>
      </w:r>
      <w:r w:rsidR="006023F3" w:rsidRPr="006023F3">
        <w:rPr>
          <w:rFonts w:cs="Times New Roman"/>
          <w:szCs w:val="24"/>
        </w:rPr>
        <w:t xml:space="preserve"> nous avons déduit que ce dernier ne va pas au financement de l’investissement pour plusieurs raison</w:t>
      </w:r>
      <w:r>
        <w:rPr>
          <w:rFonts w:cs="Times New Roman"/>
          <w:szCs w:val="24"/>
        </w:rPr>
        <w:t>s</w:t>
      </w:r>
      <w:r w:rsidR="006023F3" w:rsidRPr="006023F3">
        <w:rPr>
          <w:rFonts w:cs="Times New Roman"/>
          <w:szCs w:val="24"/>
        </w:rPr>
        <w:t xml:space="preserve">, notamment, le risque de non remboursement de crédit, entre autres, et par la suite, ses conséquences que ce soit sur le plan économique, et sur le plan bancaire. </w:t>
      </w:r>
    </w:p>
    <w:p w:rsidR="00950AFE" w:rsidRDefault="00950AFE" w:rsidP="00581E41">
      <w:pPr>
        <w:pStyle w:val="Titre1"/>
        <w:sectPr w:rsidR="00950AFE" w:rsidSect="001D03CE">
          <w:headerReference w:type="default" r:id="rId28"/>
          <w:type w:val="oddPage"/>
          <w:pgSz w:w="11906" w:h="16838"/>
          <w:pgMar w:top="1417" w:right="1417" w:bottom="1417" w:left="1417" w:header="708" w:footer="708" w:gutter="0"/>
          <w:cols w:space="708"/>
          <w:docGrid w:linePitch="360"/>
        </w:sectPr>
      </w:pPr>
    </w:p>
    <w:p w:rsidR="004018B7" w:rsidRPr="004018B7" w:rsidRDefault="005F1DED" w:rsidP="004018B7">
      <w:pPr>
        <w:pStyle w:val="Titre1"/>
      </w:pPr>
      <w:bookmarkStart w:id="104" w:name="_Toc431980038"/>
      <w:r>
        <w:lastRenderedPageBreak/>
        <w:t>CHAPITRE</w:t>
      </w:r>
      <w:r w:rsidR="004018B7" w:rsidRPr="004018B7">
        <w:t xml:space="preserve"> III : Les facteurs de la surliquidité bancaire et les mesures de sa gestion.</w:t>
      </w:r>
      <w:bookmarkEnd w:id="104"/>
    </w:p>
    <w:p w:rsidR="00EC2073" w:rsidRPr="004018B7" w:rsidRDefault="00EC2073" w:rsidP="004018B7">
      <w:pPr>
        <w:pStyle w:val="Titre1"/>
      </w:pPr>
      <w:bookmarkStart w:id="105" w:name="_Toc431980039"/>
      <w:r w:rsidRPr="004018B7">
        <w:t>Introduction</w:t>
      </w:r>
      <w:bookmarkEnd w:id="105"/>
    </w:p>
    <w:p w:rsidR="00EC2073" w:rsidRPr="00EB63CB" w:rsidRDefault="00EC2073" w:rsidP="00EC2073">
      <w:pPr>
        <w:ind w:firstLine="708"/>
        <w:rPr>
          <w:rFonts w:cs="Times New Roman"/>
          <w:szCs w:val="24"/>
        </w:rPr>
      </w:pPr>
      <w:r w:rsidRPr="00EB63CB">
        <w:rPr>
          <w:rFonts w:cs="Times New Roman"/>
          <w:szCs w:val="24"/>
        </w:rPr>
        <w:t>Nous avons analysé dans le chapitre précédent, les ratios qui mesurent la surliquidité bancaire, et nous avons confirmé son existence.</w:t>
      </w:r>
    </w:p>
    <w:p w:rsidR="00EC2073" w:rsidRPr="00EB63CB" w:rsidRDefault="00EC2073" w:rsidP="00EC2073">
      <w:pPr>
        <w:ind w:firstLine="708"/>
        <w:rPr>
          <w:rFonts w:cs="Times New Roman"/>
          <w:szCs w:val="24"/>
        </w:rPr>
      </w:pPr>
      <w:r w:rsidRPr="00EB63CB">
        <w:rPr>
          <w:rFonts w:cs="Times New Roman"/>
          <w:szCs w:val="24"/>
        </w:rPr>
        <w:t>Dans ce présent chapitre, nous mettrons en lumière les principaux facteurs qui ont suscité les banques algériennes à enregistrer des excédents de liquidité, qu’ils soient internes ou externes à la banque.</w:t>
      </w:r>
    </w:p>
    <w:p w:rsidR="00EC2073" w:rsidRPr="00EB63CB" w:rsidRDefault="00EC2073" w:rsidP="00EC2073">
      <w:pPr>
        <w:ind w:firstLine="708"/>
        <w:rPr>
          <w:rFonts w:cs="Times New Roman"/>
          <w:szCs w:val="24"/>
        </w:rPr>
      </w:pPr>
      <w:r w:rsidRPr="00EB63CB">
        <w:rPr>
          <w:rFonts w:cs="Times New Roman"/>
          <w:szCs w:val="24"/>
        </w:rPr>
        <w:t xml:space="preserve">De ce fait, pour pouvoir gérer une surliquidité importante qui règne au niveau des banquiers, les autorités monétaires ont eu recours aux différents instruments qui demeurent utilisables, et que nous citerons dans la deuxième section de ce présent chapitre, puis nous allons </w:t>
      </w:r>
      <w:r>
        <w:rPr>
          <w:rFonts w:cs="Times New Roman"/>
          <w:szCs w:val="24"/>
        </w:rPr>
        <w:t>tenter</w:t>
      </w:r>
      <w:r w:rsidRPr="00EB63CB">
        <w:rPr>
          <w:rFonts w:cs="Times New Roman"/>
          <w:szCs w:val="24"/>
        </w:rPr>
        <w:t xml:space="preserve"> de distinguer les différentes méthodes de gestion de cet excès. </w:t>
      </w:r>
    </w:p>
    <w:p w:rsidR="006023F3" w:rsidRDefault="006023F3" w:rsidP="00664FFF">
      <w:pPr>
        <w:pStyle w:val="Titre1"/>
      </w:pPr>
    </w:p>
    <w:p w:rsidR="006023F3" w:rsidRDefault="006023F3" w:rsidP="00664FFF">
      <w:pPr>
        <w:pStyle w:val="Titre1"/>
      </w:pPr>
    </w:p>
    <w:p w:rsidR="006023F3" w:rsidRDefault="006023F3" w:rsidP="00664FFF">
      <w:pPr>
        <w:pStyle w:val="Titre1"/>
      </w:pPr>
    </w:p>
    <w:p w:rsidR="006023F3" w:rsidRDefault="006023F3" w:rsidP="00664FFF">
      <w:pPr>
        <w:pStyle w:val="Titre1"/>
      </w:pPr>
    </w:p>
    <w:p w:rsidR="006023F3" w:rsidRDefault="006023F3" w:rsidP="00664FFF">
      <w:pPr>
        <w:pStyle w:val="Titre1"/>
      </w:pPr>
    </w:p>
    <w:p w:rsidR="006023F3" w:rsidRDefault="006023F3" w:rsidP="00664FFF">
      <w:pPr>
        <w:pStyle w:val="Titre1"/>
      </w:pPr>
    </w:p>
    <w:p w:rsidR="006023F3" w:rsidRDefault="006023F3" w:rsidP="00664FFF">
      <w:pPr>
        <w:pStyle w:val="Titre1"/>
      </w:pPr>
    </w:p>
    <w:p w:rsidR="006023F3" w:rsidRDefault="006023F3" w:rsidP="00664FFF">
      <w:pPr>
        <w:pStyle w:val="Titre1"/>
      </w:pPr>
    </w:p>
    <w:p w:rsidR="006023F3" w:rsidRDefault="006023F3" w:rsidP="00664FFF">
      <w:pPr>
        <w:pStyle w:val="Titre1"/>
      </w:pPr>
    </w:p>
    <w:p w:rsidR="006023F3" w:rsidRDefault="006023F3" w:rsidP="00664FFF">
      <w:pPr>
        <w:pStyle w:val="Titre1"/>
      </w:pPr>
    </w:p>
    <w:p w:rsidR="006023F3" w:rsidRDefault="006023F3" w:rsidP="00664FFF">
      <w:pPr>
        <w:pStyle w:val="Titre1"/>
      </w:pPr>
    </w:p>
    <w:p w:rsidR="00581E41" w:rsidRDefault="00EC2073" w:rsidP="00664FFF">
      <w:pPr>
        <w:pStyle w:val="Titre1"/>
      </w:pPr>
      <w:bookmarkStart w:id="106" w:name="_Toc431980040"/>
      <w:r w:rsidRPr="00EB63CB">
        <w:lastRenderedPageBreak/>
        <w:t>Section 0</w:t>
      </w:r>
      <w:r w:rsidR="00677822">
        <w:t>1</w:t>
      </w:r>
      <w:r w:rsidRPr="00EB63CB">
        <w:t xml:space="preserve"> : </w:t>
      </w:r>
      <w:r w:rsidR="00CA6CC3">
        <w:t>Les principaux facteurs de la surliquidité bancaire</w:t>
      </w:r>
      <w:bookmarkEnd w:id="106"/>
    </w:p>
    <w:p w:rsidR="00D658D8" w:rsidRPr="002724B2" w:rsidRDefault="002724B2" w:rsidP="00B72B80">
      <w:pPr>
        <w:pStyle w:val="Titre1"/>
        <w:rPr>
          <w:b w:val="0"/>
          <w:bCs w:val="0"/>
          <w:sz w:val="24"/>
          <w:szCs w:val="24"/>
        </w:rPr>
      </w:pPr>
      <w:bookmarkStart w:id="107" w:name="_Toc431980041"/>
      <w:r>
        <w:rPr>
          <w:b w:val="0"/>
          <w:bCs w:val="0"/>
          <w:sz w:val="24"/>
          <w:szCs w:val="24"/>
        </w:rPr>
        <w:t xml:space="preserve">La persistance du phénomène de surliquidité bancaire en Algérie pendant toute une décennie </w:t>
      </w:r>
      <w:r w:rsidR="00B72B80">
        <w:rPr>
          <w:b w:val="0"/>
          <w:bCs w:val="0"/>
          <w:sz w:val="24"/>
          <w:szCs w:val="24"/>
        </w:rPr>
        <w:t xml:space="preserve">nous a suscité à nous poser </w:t>
      </w:r>
      <w:r>
        <w:rPr>
          <w:b w:val="0"/>
          <w:bCs w:val="0"/>
          <w:sz w:val="24"/>
          <w:szCs w:val="24"/>
        </w:rPr>
        <w:t xml:space="preserve">la question sur son </w:t>
      </w:r>
      <w:r w:rsidR="00B72B80">
        <w:rPr>
          <w:b w:val="0"/>
          <w:bCs w:val="0"/>
          <w:sz w:val="24"/>
          <w:szCs w:val="24"/>
        </w:rPr>
        <w:t>origine,</w:t>
      </w:r>
      <w:r>
        <w:rPr>
          <w:b w:val="0"/>
          <w:bCs w:val="0"/>
          <w:sz w:val="24"/>
          <w:szCs w:val="24"/>
        </w:rPr>
        <w:t xml:space="preserve"> ainsi que les facteurs qui stimule son dév</w:t>
      </w:r>
      <w:r w:rsidR="00B72B80">
        <w:rPr>
          <w:b w:val="0"/>
          <w:bCs w:val="0"/>
          <w:sz w:val="24"/>
          <w:szCs w:val="24"/>
        </w:rPr>
        <w:t>eloppement.</w:t>
      </w:r>
      <w:bookmarkEnd w:id="107"/>
    </w:p>
    <w:p w:rsidR="00EC2073" w:rsidRPr="004018B7" w:rsidRDefault="00977420" w:rsidP="00977420">
      <w:pPr>
        <w:pStyle w:val="Titre1"/>
        <w:ind w:left="1080"/>
      </w:pPr>
      <w:bookmarkStart w:id="108" w:name="_Toc431980042"/>
      <w:r>
        <w:t xml:space="preserve">1. </w:t>
      </w:r>
      <w:r w:rsidR="00EC2073" w:rsidRPr="004018B7">
        <w:t xml:space="preserve">Evolution rapide </w:t>
      </w:r>
      <w:r w:rsidR="006156BF">
        <w:t>de l’épargne</w:t>
      </w:r>
      <w:r w:rsidR="00EC2073" w:rsidRPr="004018B7">
        <w:t> :</w:t>
      </w:r>
      <w:bookmarkEnd w:id="108"/>
    </w:p>
    <w:p w:rsidR="00EC2073" w:rsidRPr="00EB63CB" w:rsidRDefault="00EC2073" w:rsidP="00EC2073">
      <w:pPr>
        <w:ind w:firstLine="708"/>
        <w:rPr>
          <w:rFonts w:cs="Times New Roman"/>
          <w:szCs w:val="24"/>
        </w:rPr>
      </w:pPr>
      <w:r w:rsidRPr="00EB63CB">
        <w:rPr>
          <w:rFonts w:cs="Times New Roman"/>
          <w:szCs w:val="24"/>
        </w:rPr>
        <w:t xml:space="preserve">L’évolution macro-économique depuis le début des années 2000 a été marquée par un excès de l’épargne sur l’investissement, même si les années 2009 et 2013 ont enregistré un net amenuisement en la matière en raison de choc externe de grande ampleur, </w:t>
      </w:r>
      <w:r>
        <w:rPr>
          <w:rFonts w:cs="Times New Roman"/>
          <w:szCs w:val="24"/>
        </w:rPr>
        <w:t>notamment en</w:t>
      </w:r>
      <w:r w:rsidRPr="00EB63CB">
        <w:rPr>
          <w:rFonts w:cs="Times New Roman"/>
          <w:szCs w:val="24"/>
        </w:rPr>
        <w:t xml:space="preserve"> 2009, </w:t>
      </w:r>
      <w:r>
        <w:rPr>
          <w:rFonts w:cs="Times New Roman"/>
          <w:szCs w:val="24"/>
        </w:rPr>
        <w:t>où</w:t>
      </w:r>
      <w:r w:rsidRPr="00EB63CB">
        <w:rPr>
          <w:rFonts w:cs="Times New Roman"/>
          <w:szCs w:val="24"/>
        </w:rPr>
        <w:t xml:space="preserve"> la surliquidité est alimentée, d’une part, par l’importance des dépôts du secteur des hydrocarbures auprès des banques. </w:t>
      </w:r>
      <w:r>
        <w:rPr>
          <w:rFonts w:cs="Times New Roman"/>
          <w:szCs w:val="24"/>
        </w:rPr>
        <w:t>D</w:t>
      </w:r>
      <w:r w:rsidRPr="00EB63CB">
        <w:rPr>
          <w:rFonts w:cs="Times New Roman"/>
          <w:szCs w:val="24"/>
        </w:rPr>
        <w:t xml:space="preserve">’autre part, </w:t>
      </w:r>
      <w:r>
        <w:rPr>
          <w:rFonts w:cs="Times New Roman"/>
          <w:szCs w:val="24"/>
        </w:rPr>
        <w:t xml:space="preserve">elle est </w:t>
      </w:r>
      <w:r w:rsidRPr="00EB63CB">
        <w:rPr>
          <w:rFonts w:cs="Times New Roman"/>
          <w:szCs w:val="24"/>
        </w:rPr>
        <w:t>le résultat de l’augmentation de la collecte d’épargne des particuliers qui se développe à un taux moyen proche de 20% au cours des dernières années, stimulée à la fois par les injections de revenus des plans de relance publics et une bancarisation de l’économie en progrès rapide.</w:t>
      </w:r>
      <w:r w:rsidRPr="00EB63CB">
        <w:rPr>
          <w:rFonts w:cs="Times New Roman"/>
          <w:szCs w:val="24"/>
          <w:vertAlign w:val="superscript"/>
        </w:rPr>
        <w:footnoteReference w:id="43"/>
      </w:r>
    </w:p>
    <w:p w:rsidR="00EC2073" w:rsidRPr="00EB63CB" w:rsidRDefault="00EC2073" w:rsidP="00EC2073">
      <w:pPr>
        <w:ind w:firstLine="708"/>
        <w:rPr>
          <w:rFonts w:cs="Times New Roman"/>
          <w:szCs w:val="24"/>
        </w:rPr>
      </w:pPr>
      <w:r w:rsidRPr="00EB63CB">
        <w:rPr>
          <w:rFonts w:cs="Times New Roman"/>
          <w:szCs w:val="24"/>
        </w:rPr>
        <w:t>Pour beaucoup d’observateurs, la persistance de cette situation tout au long de la décennie écoulée est la traduction d’une véritable crise de l’investissement productif. La préférence de la plus part des agents économiques pour le commerce d’importation aussi bien qu’une priorité confirmée des autorités algériennes en faveur des entreprises publiques contribue à marginaliser les entreprises productives privées qui constituent potentiellement le secteur le plus dynamique de l’économie algérienne.</w:t>
      </w:r>
    </w:p>
    <w:p w:rsidR="00EC2073" w:rsidRPr="00EB63CB" w:rsidRDefault="00EC2073" w:rsidP="00D86C6B">
      <w:pPr>
        <w:ind w:firstLine="708"/>
        <w:rPr>
          <w:rFonts w:cs="Times New Roman"/>
          <w:szCs w:val="24"/>
        </w:rPr>
      </w:pPr>
      <w:r w:rsidRPr="00EB63CB">
        <w:rPr>
          <w:rFonts w:cs="Times New Roman"/>
          <w:szCs w:val="24"/>
        </w:rPr>
        <w:t xml:space="preserve">Les ressources financières disponibles en </w:t>
      </w:r>
      <w:r>
        <w:rPr>
          <w:rFonts w:cs="Times New Roman"/>
          <w:szCs w:val="24"/>
        </w:rPr>
        <w:t>Dinars</w:t>
      </w:r>
      <w:r w:rsidRPr="00EB63CB">
        <w:rPr>
          <w:rFonts w:cs="Times New Roman"/>
          <w:szCs w:val="24"/>
        </w:rPr>
        <w:t xml:space="preserve"> et en devises n’ont pas été utilisées pour orienter les activités vers les investissements productifs ou pour asseoir une base économique saine et solide à même de permettre une diversification et une augmentation de la production. L’absence d’une telle politique a accentué notre double dépendance vis-à-vis des hydrocarbures et des importations. De même qu’elle a maintenu notre économie dans un état de fragilité et de vulnérabilité préoccupant. La chute de prix d</w:t>
      </w:r>
      <w:r>
        <w:rPr>
          <w:rFonts w:cs="Times New Roman"/>
          <w:szCs w:val="24"/>
        </w:rPr>
        <w:t>u</w:t>
      </w:r>
      <w:r w:rsidRPr="00EB63CB">
        <w:rPr>
          <w:rFonts w:cs="Times New Roman"/>
          <w:szCs w:val="24"/>
        </w:rPr>
        <w:t xml:space="preserve"> baril de pétrole rend encore plus urgente la nécessité de prendre les mesures adéquates pour exploiter plus utilement les moyens financiers et les autres potentialités d</w:t>
      </w:r>
      <w:r>
        <w:rPr>
          <w:rFonts w:cs="Times New Roman"/>
          <w:szCs w:val="24"/>
        </w:rPr>
        <w:t>u</w:t>
      </w:r>
      <w:r w:rsidRPr="00EB63CB">
        <w:rPr>
          <w:rFonts w:cs="Times New Roman"/>
          <w:szCs w:val="24"/>
        </w:rPr>
        <w:t xml:space="preserve"> pays</w:t>
      </w:r>
      <w:r w:rsidR="00D86C6B">
        <w:rPr>
          <w:rFonts w:cs="Times New Roman"/>
          <w:szCs w:val="24"/>
        </w:rPr>
        <w:t>.</w:t>
      </w:r>
    </w:p>
    <w:p w:rsidR="00EC2073" w:rsidRPr="00CA6CC3" w:rsidRDefault="00977420" w:rsidP="00663FB4">
      <w:pPr>
        <w:pStyle w:val="Titre2"/>
        <w:ind w:left="0" w:firstLine="0"/>
      </w:pPr>
      <w:bookmarkStart w:id="109" w:name="_Toc431980043"/>
      <w:r>
        <w:lastRenderedPageBreak/>
        <w:t xml:space="preserve">2. </w:t>
      </w:r>
      <w:r w:rsidR="006156BF">
        <w:t>L’é</w:t>
      </w:r>
      <w:r w:rsidR="00EC2073" w:rsidRPr="00CA6CC3">
        <w:t>volution de la masse monétaire M2</w:t>
      </w:r>
      <w:bookmarkEnd w:id="109"/>
    </w:p>
    <w:p w:rsidR="00B72B80" w:rsidRDefault="00EC2073" w:rsidP="00EC2073">
      <w:pPr>
        <w:ind w:firstLine="708"/>
        <w:rPr>
          <w:rFonts w:cs="Times New Roman"/>
          <w:szCs w:val="24"/>
        </w:rPr>
      </w:pPr>
      <w:r w:rsidRPr="00EB63CB">
        <w:rPr>
          <w:rFonts w:cs="Times New Roman"/>
          <w:szCs w:val="24"/>
        </w:rPr>
        <w:t>La masse monétaire M2 est constituée de l’ensemble des moyens de paiement détenus par les agents non financiers (entreprises des hydrocarbures et reste de l’économie nationale) sous forme d’encaisses fiduciaires, de dépôt</w:t>
      </w:r>
      <w:r>
        <w:rPr>
          <w:rFonts w:cs="Times New Roman"/>
          <w:szCs w:val="24"/>
        </w:rPr>
        <w:t>s</w:t>
      </w:r>
      <w:r w:rsidRPr="00EB63CB">
        <w:rPr>
          <w:rFonts w:cs="Times New Roman"/>
          <w:szCs w:val="24"/>
        </w:rPr>
        <w:t xml:space="preserve"> à vue et de quasi monnaie. En Algérie</w:t>
      </w:r>
      <w:r>
        <w:rPr>
          <w:rFonts w:cs="Times New Roman"/>
          <w:szCs w:val="24"/>
        </w:rPr>
        <w:t>,</w:t>
      </w:r>
      <w:r w:rsidRPr="00EB63CB">
        <w:rPr>
          <w:rFonts w:cs="Times New Roman"/>
          <w:szCs w:val="24"/>
        </w:rPr>
        <w:t xml:space="preserve"> c’est l’agrégat de référence en matière de politique monétaire. Dans les graphes suivants nous allons essayer de montrer l’évolution de la masse monétaire </w:t>
      </w:r>
      <w:r>
        <w:rPr>
          <w:rFonts w:cs="Times New Roman"/>
          <w:szCs w:val="24"/>
        </w:rPr>
        <w:t>durant la période allant de</w:t>
      </w:r>
      <w:r w:rsidRPr="00EB63CB">
        <w:rPr>
          <w:rFonts w:cs="Times New Roman"/>
          <w:szCs w:val="24"/>
        </w:rPr>
        <w:t xml:space="preserve"> 2009</w:t>
      </w:r>
      <w:r>
        <w:rPr>
          <w:rFonts w:cs="Times New Roman"/>
          <w:szCs w:val="24"/>
        </w:rPr>
        <w:t xml:space="preserve"> à </w:t>
      </w:r>
      <w:r w:rsidR="00B72B80">
        <w:rPr>
          <w:rFonts w:cs="Times New Roman"/>
          <w:szCs w:val="24"/>
        </w:rPr>
        <w:t>2014.</w:t>
      </w:r>
    </w:p>
    <w:p w:rsidR="00950AFE" w:rsidRDefault="00B72B80" w:rsidP="00950AFE">
      <w:pPr>
        <w:ind w:firstLine="0"/>
        <w:rPr>
          <w:rFonts w:cs="Times New Roman"/>
          <w:b/>
          <w:bCs/>
          <w:szCs w:val="24"/>
        </w:rPr>
      </w:pPr>
      <w:r>
        <w:rPr>
          <w:rFonts w:cs="Times New Roman"/>
          <w:b/>
          <w:bCs/>
          <w:szCs w:val="24"/>
        </w:rPr>
        <w:t>Graphe N° 04</w:t>
      </w:r>
      <w:r w:rsidRPr="00EB63CB">
        <w:rPr>
          <w:rFonts w:cs="Times New Roman"/>
          <w:b/>
          <w:bCs/>
          <w:szCs w:val="24"/>
        </w:rPr>
        <w:t> : Structure de la masse monétaire</w:t>
      </w:r>
      <w:r>
        <w:rPr>
          <w:rFonts w:cs="Times New Roman"/>
          <w:b/>
          <w:bCs/>
          <w:szCs w:val="24"/>
        </w:rPr>
        <w:t xml:space="preserve">. </w:t>
      </w:r>
    </w:p>
    <w:p w:rsidR="00EC2073" w:rsidRPr="00950AFE" w:rsidRDefault="00950AFE" w:rsidP="00950AFE">
      <w:pPr>
        <w:ind w:firstLine="0"/>
        <w:jc w:val="center"/>
        <w:rPr>
          <w:rFonts w:cs="Times New Roman"/>
          <w:b/>
          <w:bCs/>
          <w:szCs w:val="24"/>
        </w:rPr>
      </w:pPr>
      <w:r>
        <w:rPr>
          <w:rFonts w:cs="Times New Roman"/>
          <w:b/>
          <w:bCs/>
          <w:noProof/>
          <w:sz w:val="28"/>
          <w:szCs w:val="28"/>
        </w:rPr>
        <w:drawing>
          <wp:inline distT="0" distB="0" distL="0" distR="0" wp14:anchorId="73356C2F" wp14:editId="63843FC8">
            <wp:extent cx="4795200" cy="3445200"/>
            <wp:effectExtent l="19050" t="19050" r="24765" b="22225"/>
            <wp:docPr id="18" name="Image 18" descr="C:\Users\djidji\Desktop\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djidji\Desktop\Image2.png"/>
                    <pic:cNvPicPr>
                      <a:picLocks noChangeAspect="1" noChangeArrowheads="1"/>
                    </pic:cNvPicPr>
                  </pic:nvPicPr>
                  <pic:blipFill rotWithShape="1">
                    <a:blip r:embed="rId29">
                      <a:extLst>
                        <a:ext uri="{28A0092B-C50C-407E-A947-70E740481C1C}">
                          <a14:useLocalDpi xmlns:a14="http://schemas.microsoft.com/office/drawing/2010/main" val="0"/>
                        </a:ext>
                      </a:extLst>
                    </a:blip>
                    <a:srcRect l="3355" t="2328" r="2097" b="3391"/>
                    <a:stretch/>
                  </pic:blipFill>
                  <pic:spPr bwMode="auto">
                    <a:xfrm>
                      <a:off x="0" y="0"/>
                      <a:ext cx="4795200" cy="3445200"/>
                    </a:xfrm>
                    <a:prstGeom prst="rect">
                      <a:avLst/>
                    </a:prstGeom>
                    <a:noFill/>
                    <a:ln>
                      <a:solidFill>
                        <a:schemeClr val="accent1"/>
                      </a:solidFill>
                    </a:ln>
                    <a:extLst>
                      <a:ext uri="{53640926-AAD7-44D8-BBD7-CCE9431645EC}">
                        <a14:shadowObscured xmlns:a14="http://schemas.microsoft.com/office/drawing/2010/main"/>
                      </a:ext>
                    </a:extLst>
                  </pic:spPr>
                </pic:pic>
              </a:graphicData>
            </a:graphic>
          </wp:inline>
        </w:drawing>
      </w:r>
    </w:p>
    <w:p w:rsidR="001023D4" w:rsidRPr="00950AFE" w:rsidRDefault="00B72B80" w:rsidP="006156BF">
      <w:pPr>
        <w:ind w:firstLine="0"/>
        <w:jc w:val="center"/>
        <w:rPr>
          <w:rFonts w:cs="Times New Roman"/>
          <w:b/>
          <w:bCs/>
          <w:sz w:val="20"/>
          <w:szCs w:val="20"/>
        </w:rPr>
      </w:pPr>
      <w:r w:rsidRPr="00B72B80">
        <w:rPr>
          <w:rFonts w:cs="Times New Roman"/>
          <w:sz w:val="20"/>
          <w:szCs w:val="20"/>
        </w:rPr>
        <w:t xml:space="preserve">Source : </w:t>
      </w:r>
      <w:r w:rsidR="006156BF">
        <w:rPr>
          <w:rFonts w:cs="Times New Roman"/>
          <w:sz w:val="20"/>
          <w:szCs w:val="20"/>
        </w:rPr>
        <w:t>B</w:t>
      </w:r>
      <w:r w:rsidR="006156BF" w:rsidRPr="00B72B80">
        <w:rPr>
          <w:rFonts w:cs="Times New Roman"/>
          <w:sz w:val="20"/>
          <w:szCs w:val="20"/>
        </w:rPr>
        <w:t>ulletin statistique trimestriel de la banque d’Algérie</w:t>
      </w:r>
      <w:r w:rsidR="006156BF">
        <w:rPr>
          <w:rFonts w:cs="Times New Roman"/>
          <w:sz w:val="20"/>
          <w:szCs w:val="20"/>
        </w:rPr>
        <w:t xml:space="preserve">, 2013, </w:t>
      </w:r>
      <w:r w:rsidRPr="00B72B80">
        <w:rPr>
          <w:rFonts w:cs="Times New Roman"/>
          <w:sz w:val="20"/>
          <w:szCs w:val="20"/>
        </w:rPr>
        <w:t xml:space="preserve"> Page 116.</w:t>
      </w:r>
    </w:p>
    <w:p w:rsidR="006023F3" w:rsidRDefault="006023F3" w:rsidP="00B72B80">
      <w:pPr>
        <w:ind w:firstLine="0"/>
        <w:rPr>
          <w:rFonts w:cs="Times New Roman"/>
          <w:b/>
          <w:bCs/>
          <w:szCs w:val="24"/>
        </w:rPr>
      </w:pPr>
    </w:p>
    <w:p w:rsidR="006023F3" w:rsidRDefault="006023F3" w:rsidP="00B72B80">
      <w:pPr>
        <w:ind w:firstLine="0"/>
        <w:rPr>
          <w:rFonts w:cs="Times New Roman"/>
          <w:b/>
          <w:bCs/>
          <w:szCs w:val="24"/>
        </w:rPr>
      </w:pPr>
    </w:p>
    <w:p w:rsidR="006023F3" w:rsidRDefault="006023F3" w:rsidP="00B72B80">
      <w:pPr>
        <w:ind w:firstLine="0"/>
        <w:rPr>
          <w:rFonts w:cs="Times New Roman"/>
          <w:b/>
          <w:bCs/>
          <w:szCs w:val="24"/>
        </w:rPr>
      </w:pPr>
    </w:p>
    <w:p w:rsidR="006023F3" w:rsidRDefault="006023F3" w:rsidP="00B72B80">
      <w:pPr>
        <w:ind w:firstLine="0"/>
        <w:rPr>
          <w:rFonts w:cs="Times New Roman"/>
          <w:b/>
          <w:bCs/>
          <w:szCs w:val="24"/>
        </w:rPr>
      </w:pPr>
    </w:p>
    <w:p w:rsidR="006023F3" w:rsidRDefault="006023F3" w:rsidP="00B72B80">
      <w:pPr>
        <w:ind w:firstLine="0"/>
        <w:rPr>
          <w:rFonts w:cs="Times New Roman"/>
          <w:b/>
          <w:bCs/>
          <w:szCs w:val="24"/>
        </w:rPr>
      </w:pPr>
    </w:p>
    <w:p w:rsidR="0060788D" w:rsidRDefault="0060788D" w:rsidP="00B72B80">
      <w:pPr>
        <w:ind w:firstLine="0"/>
        <w:rPr>
          <w:rFonts w:cs="Times New Roman"/>
          <w:b/>
          <w:bCs/>
          <w:szCs w:val="24"/>
        </w:rPr>
      </w:pPr>
    </w:p>
    <w:p w:rsidR="0060788D" w:rsidRDefault="0060788D" w:rsidP="00B72B80">
      <w:pPr>
        <w:ind w:firstLine="0"/>
        <w:rPr>
          <w:rFonts w:cs="Times New Roman"/>
          <w:b/>
          <w:bCs/>
          <w:szCs w:val="24"/>
        </w:rPr>
      </w:pPr>
    </w:p>
    <w:p w:rsidR="00581E41" w:rsidRPr="00184FDF" w:rsidRDefault="00EC2073" w:rsidP="00B72B80">
      <w:pPr>
        <w:ind w:firstLine="0"/>
      </w:pPr>
      <w:r w:rsidRPr="00EB63CB">
        <w:rPr>
          <w:rFonts w:cs="Times New Roman"/>
          <w:b/>
          <w:bCs/>
          <w:szCs w:val="24"/>
        </w:rPr>
        <w:lastRenderedPageBreak/>
        <w:t>Graphe N° 0</w:t>
      </w:r>
      <w:r>
        <w:rPr>
          <w:rFonts w:cs="Times New Roman"/>
          <w:b/>
          <w:bCs/>
          <w:szCs w:val="24"/>
        </w:rPr>
        <w:t>5</w:t>
      </w:r>
      <w:r w:rsidRPr="00EB63CB">
        <w:rPr>
          <w:rFonts w:cs="Times New Roman"/>
          <w:b/>
          <w:bCs/>
          <w:szCs w:val="24"/>
        </w:rPr>
        <w:t xml:space="preserve"> : </w:t>
      </w:r>
      <w:r>
        <w:rPr>
          <w:rFonts w:cs="Times New Roman"/>
          <w:b/>
          <w:bCs/>
          <w:szCs w:val="24"/>
        </w:rPr>
        <w:t>E</w:t>
      </w:r>
      <w:r w:rsidRPr="00EB63CB">
        <w:rPr>
          <w:rFonts w:cs="Times New Roman"/>
          <w:b/>
          <w:bCs/>
          <w:szCs w:val="24"/>
        </w:rPr>
        <w:t>volution de la masse monétaire</w:t>
      </w:r>
      <w:r w:rsidR="00581E41">
        <w:rPr>
          <w:rFonts w:cs="Times New Roman"/>
          <w:b/>
          <w:bCs/>
          <w:szCs w:val="24"/>
        </w:rPr>
        <w:t xml:space="preserve">. </w:t>
      </w:r>
    </w:p>
    <w:p w:rsidR="00581E41" w:rsidRDefault="00EC2073" w:rsidP="00B72B80">
      <w:pPr>
        <w:spacing w:before="0" w:after="0" w:line="240" w:lineRule="auto"/>
        <w:ind w:firstLine="0"/>
        <w:jc w:val="center"/>
        <w:rPr>
          <w:rFonts w:cs="Times New Roman"/>
          <w:b/>
          <w:bCs/>
          <w:color w:val="DDD9C3"/>
          <w:sz w:val="28"/>
          <w:szCs w:val="28"/>
        </w:rPr>
      </w:pPr>
      <w:r>
        <w:rPr>
          <w:rFonts w:cs="Times New Roman"/>
          <w:b/>
          <w:bCs/>
          <w:noProof/>
          <w:sz w:val="28"/>
          <w:szCs w:val="28"/>
        </w:rPr>
        <w:drawing>
          <wp:inline distT="0" distB="0" distL="0" distR="0" wp14:anchorId="638FCD78" wp14:editId="1ECA716D">
            <wp:extent cx="5340168" cy="2664000"/>
            <wp:effectExtent l="0" t="0" r="0" b="3175"/>
            <wp:docPr id="17" name="Image 17" descr="C:\Users\djidji\Desktop\20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C:\Users\djidji\Desktop\2014.png"/>
                    <pic:cNvPicPr>
                      <a:picLocks noChangeAspect="1" noChangeArrowheads="1"/>
                    </pic:cNvPicPr>
                  </pic:nvPicPr>
                  <pic:blipFill rotWithShape="1">
                    <a:blip r:embed="rId30">
                      <a:extLst>
                        <a:ext uri="{28A0092B-C50C-407E-A947-70E740481C1C}">
                          <a14:useLocalDpi xmlns:a14="http://schemas.microsoft.com/office/drawing/2010/main" val="0"/>
                        </a:ext>
                      </a:extLst>
                    </a:blip>
                    <a:srcRect l="1476"/>
                    <a:stretch/>
                  </pic:blipFill>
                  <pic:spPr bwMode="auto">
                    <a:xfrm>
                      <a:off x="0" y="0"/>
                      <a:ext cx="5340168" cy="2664000"/>
                    </a:xfrm>
                    <a:prstGeom prst="rect">
                      <a:avLst/>
                    </a:prstGeom>
                    <a:noFill/>
                    <a:ln>
                      <a:noFill/>
                    </a:ln>
                    <a:extLst>
                      <a:ext uri="{53640926-AAD7-44D8-BBD7-CCE9431645EC}">
                        <a14:shadowObscured xmlns:a14="http://schemas.microsoft.com/office/drawing/2010/main"/>
                      </a:ext>
                    </a:extLst>
                  </pic:spPr>
                </pic:pic>
              </a:graphicData>
            </a:graphic>
          </wp:inline>
        </w:drawing>
      </w:r>
    </w:p>
    <w:p w:rsidR="00B72B80" w:rsidRPr="00B72B80" w:rsidRDefault="006156BF" w:rsidP="00B72B80">
      <w:pPr>
        <w:spacing w:before="0" w:after="0" w:line="240" w:lineRule="auto"/>
        <w:ind w:firstLine="0"/>
        <w:jc w:val="center"/>
        <w:rPr>
          <w:sz w:val="20"/>
          <w:szCs w:val="20"/>
        </w:rPr>
      </w:pPr>
      <w:r>
        <w:rPr>
          <w:rFonts w:cs="Times New Roman"/>
          <w:sz w:val="20"/>
          <w:szCs w:val="20"/>
        </w:rPr>
        <w:t>Source : B</w:t>
      </w:r>
      <w:r w:rsidR="00B72B80" w:rsidRPr="00B72B80">
        <w:rPr>
          <w:rFonts w:cs="Times New Roman"/>
          <w:sz w:val="20"/>
          <w:szCs w:val="20"/>
        </w:rPr>
        <w:t>ulletin statistique trimestriel de la banque d’Algérie,</w:t>
      </w:r>
      <w:r w:rsidR="00B05883">
        <w:rPr>
          <w:rFonts w:cs="Times New Roman"/>
          <w:sz w:val="20"/>
          <w:szCs w:val="20"/>
        </w:rPr>
        <w:t xml:space="preserve"> 2015</w:t>
      </w:r>
      <w:r>
        <w:rPr>
          <w:rFonts w:cs="Times New Roman"/>
          <w:sz w:val="20"/>
          <w:szCs w:val="20"/>
        </w:rPr>
        <w:t>,</w:t>
      </w:r>
      <w:r w:rsidR="00B72B80" w:rsidRPr="00B72B80">
        <w:rPr>
          <w:rFonts w:cs="Times New Roman"/>
          <w:sz w:val="20"/>
          <w:szCs w:val="20"/>
        </w:rPr>
        <w:t xml:space="preserve"> page 11.</w:t>
      </w:r>
      <w:r w:rsidR="00EB0D2C">
        <w:rPr>
          <w:rStyle w:val="Appelnotedebasdep"/>
          <w:rFonts w:cs="Times New Roman"/>
          <w:sz w:val="20"/>
          <w:szCs w:val="20"/>
        </w:rPr>
        <w:footnoteReference w:id="44"/>
      </w:r>
    </w:p>
    <w:p w:rsidR="00B72B80" w:rsidRDefault="00B72B80" w:rsidP="00581E41"/>
    <w:p w:rsidR="00EC2073" w:rsidRPr="00581E41" w:rsidRDefault="005E6EED" w:rsidP="00581E41">
      <w:pPr>
        <w:rPr>
          <w:b/>
          <w:bCs/>
          <w:color w:val="DDD9C3"/>
          <w:sz w:val="28"/>
          <w:szCs w:val="28"/>
        </w:rPr>
      </w:pPr>
      <w:r>
        <w:t xml:space="preserve">La lecture des graphes (N°4 et N°5) </w:t>
      </w:r>
      <w:r w:rsidR="00EC2073" w:rsidRPr="00EB63CB">
        <w:t>nous renseigne</w:t>
      </w:r>
      <w:r w:rsidR="00337C43">
        <w:t>nt</w:t>
      </w:r>
      <w:r w:rsidR="00EC2073" w:rsidRPr="00EB63CB">
        <w:t xml:space="preserve"> sur l’évolution importante de la masse monétaire et ce depuis 2009</w:t>
      </w:r>
      <w:r>
        <w:t xml:space="preserve"> (voir annexe N°IV)</w:t>
      </w:r>
      <w:r w:rsidR="00EC2073" w:rsidRPr="00EB63CB">
        <w:t xml:space="preserve">. </w:t>
      </w:r>
      <w:r w:rsidR="00EC2073" w:rsidRPr="00584300">
        <w:t>On remarque</w:t>
      </w:r>
      <w:r w:rsidR="00EC2073" w:rsidRPr="00EB63CB">
        <w:t xml:space="preserve"> que M2  est évaluée à 13 673,2 </w:t>
      </w:r>
      <w:r w:rsidR="00EC2073">
        <w:t xml:space="preserve">Milliards(Mds) </w:t>
      </w:r>
      <w:r w:rsidR="00EC2073" w:rsidRPr="00EB63CB">
        <w:t xml:space="preserve">de </w:t>
      </w:r>
      <w:r w:rsidR="00EC2073">
        <w:t>Dinars</w:t>
      </w:r>
      <w:r w:rsidR="00EC2073" w:rsidRPr="00EB63CB">
        <w:t xml:space="preserve"> à fin 2014, contre 11 941,51 </w:t>
      </w:r>
      <w:r w:rsidR="00EC2073">
        <w:t>Mds</w:t>
      </w:r>
      <w:r w:rsidR="00EC2073" w:rsidRPr="00EB63CB">
        <w:t xml:space="preserve"> de </w:t>
      </w:r>
      <w:r w:rsidR="00EC2073">
        <w:t>Dinars</w:t>
      </w:r>
      <w:r w:rsidR="00EC2073" w:rsidRPr="00EB63CB">
        <w:t xml:space="preserve"> en 2013 et 11 015 ,14 </w:t>
      </w:r>
      <w:r w:rsidR="00EC2073">
        <w:t>Mds</w:t>
      </w:r>
      <w:r w:rsidR="00EC2073" w:rsidRPr="00EB63CB">
        <w:t xml:space="preserve"> de </w:t>
      </w:r>
      <w:r w:rsidR="00EC2073">
        <w:t>Dinars</w:t>
      </w:r>
      <w:r w:rsidR="00EC2073" w:rsidRPr="00EB63CB">
        <w:t>. Cela confirme l’excès de liquidité qui se manifeste par l’existence d’énorme</w:t>
      </w:r>
      <w:r w:rsidR="00EC2073">
        <w:t>s</w:t>
      </w:r>
      <w:r w:rsidR="00EC2073" w:rsidRPr="00EB63CB">
        <w:t xml:space="preserve"> de ressource</w:t>
      </w:r>
      <w:r w:rsidR="00EC2073">
        <w:t>s</w:t>
      </w:r>
      <w:r w:rsidR="00EC2073" w:rsidRPr="00EB63CB">
        <w:t xml:space="preserve"> monétaire</w:t>
      </w:r>
      <w:r w:rsidR="00EC2073">
        <w:t>s</w:t>
      </w:r>
      <w:r w:rsidR="00EC2073" w:rsidRPr="00EB63CB">
        <w:t xml:space="preserve"> qui </w:t>
      </w:r>
      <w:r w:rsidR="00EC2073">
        <w:t>ne sont</w:t>
      </w:r>
      <w:r w:rsidR="00EC2073" w:rsidRPr="00EB63CB">
        <w:t xml:space="preserve"> qu’en partie utilisée</w:t>
      </w:r>
      <w:r w:rsidR="00EC2073">
        <w:t>s</w:t>
      </w:r>
      <w:r w:rsidR="00EC2073" w:rsidRPr="00EB63CB">
        <w:t xml:space="preserve">. </w:t>
      </w:r>
      <w:r w:rsidR="00EC2073">
        <w:t>A</w:t>
      </w:r>
      <w:r w:rsidR="00EC2073" w:rsidRPr="00EB63CB">
        <w:t>u lieu de servir à créer des richesses</w:t>
      </w:r>
      <w:r w:rsidR="00EC2073">
        <w:t>, c</w:t>
      </w:r>
      <w:r w:rsidR="00EC2073" w:rsidRPr="00EB63CB">
        <w:t>es ressources exercent une pression sur les prix et risque</w:t>
      </w:r>
      <w:r w:rsidR="00EC2073">
        <w:t>nt</w:t>
      </w:r>
      <w:r w:rsidR="00EC2073" w:rsidRPr="00EB63CB">
        <w:t xml:space="preserve"> d’augmenter le taux d’inflation</w:t>
      </w:r>
      <w:r w:rsidR="00EC2073">
        <w:t>, o</w:t>
      </w:r>
      <w:r w:rsidR="00EC2073" w:rsidRPr="00EB63CB">
        <w:t>blige</w:t>
      </w:r>
      <w:r w:rsidR="00EC2073">
        <w:t>nt</w:t>
      </w:r>
      <w:r w:rsidR="00EC2073" w:rsidRPr="00EB63CB">
        <w:t xml:space="preserve"> la </w:t>
      </w:r>
      <w:r w:rsidR="00EC2073">
        <w:t>B</w:t>
      </w:r>
      <w:r w:rsidR="00EC2073" w:rsidRPr="00EB63CB">
        <w:t xml:space="preserve">anque </w:t>
      </w:r>
      <w:r w:rsidR="00EC2073">
        <w:t>C</w:t>
      </w:r>
      <w:r w:rsidR="00EC2073" w:rsidRPr="00EB63CB">
        <w:t>entrale à intervenir pour éponger l’excès de liquidité au niveau bancaire.</w:t>
      </w:r>
    </w:p>
    <w:p w:rsidR="00EC2073" w:rsidRPr="00EB63CB" w:rsidRDefault="00EC2073" w:rsidP="00EC2073">
      <w:pPr>
        <w:rPr>
          <w:rFonts w:cs="Times New Roman"/>
          <w:szCs w:val="24"/>
        </w:rPr>
      </w:pPr>
      <w:r w:rsidRPr="00EB63CB">
        <w:rPr>
          <w:rFonts w:cs="Times New Roman"/>
          <w:szCs w:val="24"/>
        </w:rPr>
        <w:t xml:space="preserve">Par ailleurs, après plusieurs années d’accumulation soutenue des ressources dans les fonds de régulation des recettes par le trésor, l’année 2014 a enregistré une relative stabilisation de la position financière nette de l’Etat dans la situation monétaire. Les dépôts au CCP et au trésor ont enregistré une diminution en 2014 pour une part relative à 765,9 Mds </w:t>
      </w:r>
      <w:r>
        <w:rPr>
          <w:rFonts w:cs="Times New Roman"/>
          <w:szCs w:val="24"/>
        </w:rPr>
        <w:t>Dinars</w:t>
      </w:r>
      <w:r w:rsidRPr="00EB63CB">
        <w:rPr>
          <w:rFonts w:cs="Times New Roman"/>
          <w:szCs w:val="24"/>
        </w:rPr>
        <w:t xml:space="preserve">  pour les dépôts au trésor et 694,5 Mds </w:t>
      </w:r>
      <w:r>
        <w:rPr>
          <w:rFonts w:cs="Times New Roman"/>
          <w:szCs w:val="24"/>
        </w:rPr>
        <w:t>de Dinars</w:t>
      </w:r>
      <w:r w:rsidRPr="00EB63CB">
        <w:rPr>
          <w:rFonts w:cs="Times New Roman"/>
          <w:szCs w:val="24"/>
        </w:rPr>
        <w:t xml:space="preserve"> pour les dépôts au CCP</w:t>
      </w:r>
      <w:r>
        <w:rPr>
          <w:rStyle w:val="Appelnotedebasdep"/>
          <w:rFonts w:cs="Times New Roman"/>
          <w:szCs w:val="24"/>
        </w:rPr>
        <w:footnoteReference w:id="45"/>
      </w:r>
      <w:r w:rsidRPr="00EB63CB">
        <w:rPr>
          <w:rFonts w:cs="Times New Roman"/>
          <w:szCs w:val="24"/>
        </w:rPr>
        <w:t xml:space="preserve">. </w:t>
      </w:r>
    </w:p>
    <w:p w:rsidR="00EC2073" w:rsidRPr="00EB63CB" w:rsidRDefault="00EC2073" w:rsidP="00581E41">
      <w:r w:rsidRPr="00EB63CB">
        <w:t xml:space="preserve">On remarque aussi que les dépôts à vue des ménages connaissent une progression pour atteindre à fin 2014 une valeur de 4 476,3 </w:t>
      </w:r>
      <w:r>
        <w:t>Mds</w:t>
      </w:r>
      <w:r w:rsidRPr="00EB63CB">
        <w:t xml:space="preserve"> de </w:t>
      </w:r>
      <w:r>
        <w:t>Dinars</w:t>
      </w:r>
      <w:r w:rsidRPr="00EB63CB">
        <w:t xml:space="preserve"> contre 3 564,5 </w:t>
      </w:r>
      <w:r>
        <w:t>Mds</w:t>
      </w:r>
      <w:r w:rsidRPr="00EB63CB">
        <w:t xml:space="preserve"> de </w:t>
      </w:r>
      <w:r>
        <w:t>Dinars</w:t>
      </w:r>
      <w:r w:rsidRPr="00EB63CB">
        <w:t xml:space="preserve"> en 2013. L’agrégat quasi-monnaie s’est accru à un rythme plus élevé que celui de la masse </w:t>
      </w:r>
      <w:r w:rsidRPr="00EB63CB">
        <w:lastRenderedPageBreak/>
        <w:t xml:space="preserve">monétaire (hors dépôts des hydrocarbures), sous l’effet de l’évolution des dépôts en devises et des dépôts à  terme en </w:t>
      </w:r>
      <w:r>
        <w:t>Dinars</w:t>
      </w:r>
      <w:r w:rsidRPr="00EB63CB">
        <w:t>. Cela représente une nette décélération de l’expansion de la quasi monnaie par rapport à 2013, sous l’effet d’une faible progression des dépôts à terme en situation de net amenuisement de l’excès de l’épargne sur l’investissement. Par ailleurs, la base de ressources des banques est aujourd’hui moins vulnérable à un choc externe affectant le secteur des hydrocarbures.</w:t>
      </w:r>
    </w:p>
    <w:p w:rsidR="00EC2073" w:rsidRPr="00EB63CB" w:rsidRDefault="00EC2073" w:rsidP="00EB0D2C">
      <w:r w:rsidRPr="00EB63CB">
        <w:t xml:space="preserve">La monnaie fiduciaire ne </w:t>
      </w:r>
      <w:r>
        <w:t>fait</w:t>
      </w:r>
      <w:r w:rsidRPr="00EB63CB">
        <w:t xml:space="preserve"> que s’accroître et forme l’excès de liquidité en question. La circulation fiduciaire qui était de 1 829,3 </w:t>
      </w:r>
      <w:r>
        <w:t>Mds</w:t>
      </w:r>
      <w:r w:rsidRPr="00EB63CB">
        <w:t xml:space="preserve"> de </w:t>
      </w:r>
      <w:r>
        <w:t>Dinars</w:t>
      </w:r>
      <w:r w:rsidRPr="00EB63CB">
        <w:t xml:space="preserve"> en 2009 a atteint 3 656,8 </w:t>
      </w:r>
      <w:r>
        <w:t>Mds</w:t>
      </w:r>
      <w:r w:rsidRPr="00EB63CB">
        <w:t xml:space="preserve"> de </w:t>
      </w:r>
      <w:r>
        <w:t>Dinars</w:t>
      </w:r>
      <w:r w:rsidRPr="00EB63CB">
        <w:t xml:space="preserve"> en 2014. Cette dernière</w:t>
      </w:r>
      <w:r>
        <w:t xml:space="preserve">, </w:t>
      </w:r>
      <w:r w:rsidRPr="00EB63CB">
        <w:t>représent</w:t>
      </w:r>
      <w:r>
        <w:t>ant</w:t>
      </w:r>
      <w:r w:rsidRPr="00EB63CB">
        <w:t xml:space="preserve"> 26,8% de la masse monétaire M2 à fin 2013 alors qu’elle </w:t>
      </w:r>
      <w:r>
        <w:t>ne représente</w:t>
      </w:r>
      <w:r w:rsidRPr="00EB63CB">
        <w:t xml:space="preserve"> que 14% en Tunisie à la même </w:t>
      </w:r>
      <w:r>
        <w:t>période</w:t>
      </w:r>
      <w:r w:rsidRPr="00EB63CB">
        <w:t xml:space="preserve"> et moins de 5% dans </w:t>
      </w:r>
      <w:r>
        <w:t xml:space="preserve">les </w:t>
      </w:r>
      <w:r w:rsidRPr="00EB63CB">
        <w:t>pays développés</w:t>
      </w:r>
      <w:r>
        <w:t>,</w:t>
      </w:r>
      <w:r w:rsidRPr="00EB63CB">
        <w:t xml:space="preserve"> est à l’origine de pratique</w:t>
      </w:r>
      <w:r>
        <w:t>s</w:t>
      </w:r>
      <w:r w:rsidRPr="00EB63CB">
        <w:t xml:space="preserve"> nuisible</w:t>
      </w:r>
      <w:r>
        <w:t>s</w:t>
      </w:r>
      <w:r w:rsidRPr="00EB63CB">
        <w:t>. Elle favorise le développement des activités informelles, contre lesquelles aucune action efficace n’a été entreprise</w:t>
      </w:r>
      <w:r>
        <w:t>, c</w:t>
      </w:r>
      <w:r w:rsidRPr="00EB63CB">
        <w:t>omme elle favorise la spéculation, l’évasion fiscale, la fuite des capitaux, la thésaurisation, etc. Il faut dire que le refus des autorités d’appliquer les décrets imposant l’utilisation des chèques, des virements et des cartes bancaires pour tout paiement dépass</w:t>
      </w:r>
      <w:r>
        <w:t>a</w:t>
      </w:r>
      <w:r w:rsidRPr="00EB63CB">
        <w:t>nt</w:t>
      </w:r>
      <w:r>
        <w:t>s</w:t>
      </w:r>
      <w:r w:rsidRPr="00EB63CB">
        <w:t xml:space="preserve"> le plafond fixé n’aide pas à réduire cette circulation fiduciaire.</w:t>
      </w:r>
    </w:p>
    <w:p w:rsidR="00AC2B20" w:rsidRDefault="00EC2073" w:rsidP="00011818">
      <w:r w:rsidRPr="00EB63CB">
        <w:t>Cette évolution d’indicateurs nous mène à chercher des contreparties de cette masse monétaire et de faire ressortir les éléments les plus déterminants (voir le graphe n°</w:t>
      </w:r>
      <w:r w:rsidR="00011818">
        <w:t>6</w:t>
      </w:r>
      <w:r w:rsidRPr="00EB63CB">
        <w:t>)</w:t>
      </w:r>
    </w:p>
    <w:p w:rsidR="005224AC" w:rsidRDefault="00EC2073" w:rsidP="00B72B80">
      <w:pPr>
        <w:ind w:firstLine="0"/>
      </w:pPr>
      <w:r w:rsidRPr="00EB63CB">
        <w:rPr>
          <w:b/>
          <w:bCs/>
          <w:szCs w:val="24"/>
        </w:rPr>
        <w:t>Graphe N° 0</w:t>
      </w:r>
      <w:r>
        <w:rPr>
          <w:b/>
          <w:bCs/>
          <w:szCs w:val="24"/>
        </w:rPr>
        <w:t>6</w:t>
      </w:r>
      <w:r w:rsidRPr="00EB63CB">
        <w:rPr>
          <w:b/>
          <w:bCs/>
          <w:szCs w:val="24"/>
        </w:rPr>
        <w:t> : Contreparties de la masse monétaire</w:t>
      </w:r>
      <w:r w:rsidR="00EB0D2C">
        <w:rPr>
          <w:rStyle w:val="Appelnotedebasdep"/>
          <w:b/>
          <w:bCs/>
          <w:szCs w:val="24"/>
        </w:rPr>
        <w:footnoteReference w:id="46"/>
      </w:r>
      <w:r w:rsidR="005224AC">
        <w:rPr>
          <w:b/>
          <w:bCs/>
          <w:szCs w:val="24"/>
        </w:rPr>
        <w:t xml:space="preserve">. </w:t>
      </w:r>
    </w:p>
    <w:p w:rsidR="00EC2073" w:rsidRDefault="00CC0573" w:rsidP="00B72B80">
      <w:pPr>
        <w:spacing w:before="0" w:after="0"/>
        <w:ind w:firstLine="0"/>
        <w:jc w:val="center"/>
        <w:rPr>
          <w:rFonts w:cs="Times New Roman"/>
          <w:szCs w:val="24"/>
        </w:rPr>
      </w:pPr>
      <w:r>
        <w:rPr>
          <w:rFonts w:cs="Times New Roman"/>
          <w:noProof/>
          <w:szCs w:val="24"/>
        </w:rPr>
        <mc:AlternateContent>
          <mc:Choice Requires="wps">
            <w:drawing>
              <wp:anchor distT="0" distB="0" distL="114300" distR="114300" simplePos="0" relativeHeight="251715584" behindDoc="0" locked="0" layoutInCell="1" allowOverlap="1" wp14:anchorId="576E2D9A" wp14:editId="38D83FF7">
                <wp:simplePos x="0" y="0"/>
                <wp:positionH relativeFrom="column">
                  <wp:posOffset>-673735</wp:posOffset>
                </wp:positionH>
                <wp:positionV relativeFrom="paragraph">
                  <wp:posOffset>2560320</wp:posOffset>
                </wp:positionV>
                <wp:extent cx="5815330" cy="285750"/>
                <wp:effectExtent l="0" t="0" r="0" b="0"/>
                <wp:wrapNone/>
                <wp:docPr id="28"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533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6CCF" w:rsidRDefault="00826CCF" w:rsidP="00EB0D2C">
                            <w:pPr>
                              <w:spacing w:before="0" w:after="0"/>
                              <w:ind w:left="1416" w:firstLine="708"/>
                              <w:rPr>
                                <w:sz w:val="20"/>
                                <w:szCs w:val="20"/>
                              </w:rPr>
                            </w:pPr>
                            <w:r w:rsidRPr="00B72B80">
                              <w:rPr>
                                <w:sz w:val="20"/>
                                <w:szCs w:val="20"/>
                              </w:rPr>
                              <w:t xml:space="preserve">Source : </w:t>
                            </w:r>
                            <w:r>
                              <w:rPr>
                                <w:sz w:val="20"/>
                                <w:szCs w:val="20"/>
                              </w:rPr>
                              <w:t>B</w:t>
                            </w:r>
                            <w:r w:rsidRPr="00B72B80">
                              <w:rPr>
                                <w:sz w:val="20"/>
                                <w:szCs w:val="20"/>
                              </w:rPr>
                              <w:t>ulletin statistique de rapport de la Banque d’Algérie,</w:t>
                            </w:r>
                            <w:r>
                              <w:rPr>
                                <w:sz w:val="20"/>
                                <w:szCs w:val="20"/>
                              </w:rPr>
                              <w:t xml:space="preserve"> 2015</w:t>
                            </w:r>
                            <w:proofErr w:type="gramStart"/>
                            <w:r>
                              <w:rPr>
                                <w:sz w:val="20"/>
                                <w:szCs w:val="20"/>
                              </w:rPr>
                              <w:t>,page</w:t>
                            </w:r>
                            <w:proofErr w:type="gramEnd"/>
                            <w:r w:rsidRPr="00B72B80">
                              <w:rPr>
                                <w:sz w:val="20"/>
                                <w:szCs w:val="20"/>
                              </w:rPr>
                              <w:t xml:space="preserve"> 10.</w:t>
                            </w:r>
                          </w:p>
                          <w:p w:rsidR="00826CCF" w:rsidRDefault="00826CC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38" type="#_x0000_t202" style="position:absolute;left:0;text-align:left;margin-left:-53.05pt;margin-top:201.6pt;width:457.9pt;height:2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" stroked="f">
                <v:textbox>
                  <w:txbxContent>
                    <w:p w:rsidR="00826CCF" w:rsidRDefault="00826CCF" w:rsidP="00EB0D2C">
                      <w:pPr>
                        <w:spacing w:before="0" w:after="0"/>
                        <w:ind w:left="1416" w:firstLine="708"/>
                        <w:rPr>
                          <w:sz w:val="20"/>
                          <w:szCs w:val="20"/>
                        </w:rPr>
                      </w:pPr>
                      <w:r w:rsidRPr="00B72B80">
                        <w:rPr>
                          <w:sz w:val="20"/>
                          <w:szCs w:val="20"/>
                        </w:rPr>
                        <w:t xml:space="preserve">Source : </w:t>
                      </w:r>
                      <w:r>
                        <w:rPr>
                          <w:sz w:val="20"/>
                          <w:szCs w:val="20"/>
                        </w:rPr>
                        <w:t>B</w:t>
                      </w:r>
                      <w:r w:rsidRPr="00B72B80">
                        <w:rPr>
                          <w:sz w:val="20"/>
                          <w:szCs w:val="20"/>
                        </w:rPr>
                        <w:t>ulletin statistique de rapport de la Banque d’Algérie,</w:t>
                      </w:r>
                      <w:r>
                        <w:rPr>
                          <w:sz w:val="20"/>
                          <w:szCs w:val="20"/>
                        </w:rPr>
                        <w:t xml:space="preserve"> 2015</w:t>
                      </w:r>
                      <w:proofErr w:type="gramStart"/>
                      <w:r>
                        <w:rPr>
                          <w:sz w:val="20"/>
                          <w:szCs w:val="20"/>
                        </w:rPr>
                        <w:t>,page</w:t>
                      </w:r>
                      <w:proofErr w:type="gramEnd"/>
                      <w:r w:rsidRPr="00B72B80">
                        <w:rPr>
                          <w:sz w:val="20"/>
                          <w:szCs w:val="20"/>
                        </w:rPr>
                        <w:t xml:space="preserve"> 10.</w:t>
                      </w:r>
                    </w:p>
                    <w:p w:rsidR="00826CCF" w:rsidRDefault="00826CCF"/>
                  </w:txbxContent>
                </v:textbox>
              </v:shape>
            </w:pict>
          </mc:Fallback>
        </mc:AlternateContent>
      </w:r>
      <w:r w:rsidR="00EC2073">
        <w:rPr>
          <w:rFonts w:cs="Times New Roman"/>
          <w:noProof/>
          <w:szCs w:val="24"/>
        </w:rPr>
        <w:drawing>
          <wp:inline distT="0" distB="0" distL="0" distR="0" wp14:anchorId="5B1ACA75" wp14:editId="2DD5E1A4">
            <wp:extent cx="4779361" cy="2628000"/>
            <wp:effectExtent l="0" t="0" r="2540" b="1270"/>
            <wp:docPr id="16" name="Image 16" descr="C:\Users\djidji\Desktop\contrepart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C:\Users\djidji\Desktop\contrepartie.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779361" cy="2628000"/>
                    </a:xfrm>
                    <a:prstGeom prst="rect">
                      <a:avLst/>
                    </a:prstGeom>
                    <a:noFill/>
                    <a:ln>
                      <a:noFill/>
                    </a:ln>
                  </pic:spPr>
                </pic:pic>
              </a:graphicData>
            </a:graphic>
          </wp:inline>
        </w:drawing>
      </w:r>
    </w:p>
    <w:p w:rsidR="00EC2073" w:rsidRPr="00B72B80" w:rsidRDefault="00EC2073" w:rsidP="00977420">
      <w:pPr>
        <w:pStyle w:val="Titre3"/>
        <w:numPr>
          <w:ilvl w:val="1"/>
          <w:numId w:val="48"/>
        </w:numPr>
      </w:pPr>
      <w:bookmarkStart w:id="110" w:name="_Toc431942045"/>
      <w:bookmarkStart w:id="111" w:name="_Toc431980044"/>
      <w:r w:rsidRPr="00B72B80">
        <w:lastRenderedPageBreak/>
        <w:t>La monétisation des avoirs extérieurs</w:t>
      </w:r>
      <w:bookmarkEnd w:id="110"/>
      <w:bookmarkEnd w:id="111"/>
    </w:p>
    <w:p w:rsidR="00EC2073" w:rsidRPr="00EB63CB" w:rsidRDefault="00EC2073" w:rsidP="005E6EED">
      <w:pPr>
        <w:ind w:firstLine="360"/>
        <w:rPr>
          <w:rFonts w:cs="Times New Roman"/>
          <w:szCs w:val="24"/>
        </w:rPr>
      </w:pPr>
      <w:r w:rsidRPr="00EB63CB">
        <w:rPr>
          <w:rFonts w:cs="Times New Roman"/>
          <w:szCs w:val="24"/>
        </w:rPr>
        <w:t>A partir du graphe</w:t>
      </w:r>
      <w:r>
        <w:rPr>
          <w:rFonts w:cs="Times New Roman"/>
          <w:szCs w:val="24"/>
        </w:rPr>
        <w:t xml:space="preserve"> N°0</w:t>
      </w:r>
      <w:r w:rsidR="005E6EED">
        <w:rPr>
          <w:rFonts w:cs="Times New Roman"/>
          <w:szCs w:val="24"/>
        </w:rPr>
        <w:t>6</w:t>
      </w:r>
      <w:r w:rsidRPr="00EB63CB">
        <w:rPr>
          <w:rFonts w:cs="Times New Roman"/>
          <w:szCs w:val="24"/>
        </w:rPr>
        <w:t>, on constate que l’excès structurel d</w:t>
      </w:r>
      <w:r>
        <w:rPr>
          <w:rFonts w:cs="Times New Roman"/>
          <w:szCs w:val="24"/>
        </w:rPr>
        <w:t>e</w:t>
      </w:r>
      <w:r w:rsidRPr="00EB63CB">
        <w:rPr>
          <w:rFonts w:cs="Times New Roman"/>
          <w:szCs w:val="24"/>
        </w:rPr>
        <w:t xml:space="preserve"> liquidité provient essentiellement de la monétisation des avoirs extérieurs qui est un déterminant structurel de l’expansion </w:t>
      </w:r>
      <w:r w:rsidR="00AC2B20" w:rsidRPr="00EB63CB">
        <w:rPr>
          <w:rFonts w:cs="Times New Roman"/>
          <w:szCs w:val="24"/>
        </w:rPr>
        <w:t>monétaire</w:t>
      </w:r>
      <w:r w:rsidR="00AC2B20" w:rsidRPr="00584300">
        <w:rPr>
          <w:rFonts w:cs="Times New Roman"/>
          <w:szCs w:val="24"/>
        </w:rPr>
        <w:t xml:space="preserve"> (</w:t>
      </w:r>
      <w:r w:rsidR="005E6EED" w:rsidRPr="00584300">
        <w:rPr>
          <w:rFonts w:cs="Times New Roman"/>
          <w:szCs w:val="24"/>
        </w:rPr>
        <w:t>voir annexe N°V)</w:t>
      </w:r>
      <w:r w:rsidRPr="00584300">
        <w:rPr>
          <w:rFonts w:cs="Times New Roman"/>
          <w:szCs w:val="24"/>
        </w:rPr>
        <w:t>.</w:t>
      </w:r>
      <w:r w:rsidRPr="00EB63CB">
        <w:rPr>
          <w:rFonts w:cs="Times New Roman"/>
          <w:szCs w:val="24"/>
        </w:rPr>
        <w:t xml:space="preserve"> On remarque que l’encours des avoirs extérieurs a atteint 15 737, 9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fin 2014 contre 15 225, 2 à fin 2013, ont faiblement progressé en 2014 comparativement à l’année précédente, en relation avec l’évolution de la position extérieure même avec un faible rôle dans le processus de création monétaire en 2013, cet agrégat occupe une place très significative dans la situation monétaire consolidée et a grandement alimenté l’excès de liquidité sur le marché monétaire entre 2004 et 2008. Néanmoins</w:t>
      </w:r>
      <w:r>
        <w:rPr>
          <w:rFonts w:cs="Times New Roman"/>
          <w:szCs w:val="24"/>
        </w:rPr>
        <w:t>,</w:t>
      </w:r>
      <w:r w:rsidRPr="00EB63CB">
        <w:rPr>
          <w:rFonts w:cs="Times New Roman"/>
          <w:szCs w:val="24"/>
        </w:rPr>
        <w:t xml:space="preserve"> l’accumulation soutenue des ressources dans les fonds de régulation par le trésor est une forme de stérilisation qui a contribué à contenir, dans une certaine mesure, cet excès de liquidité.</w:t>
      </w:r>
      <w:r w:rsidRPr="00EB63CB">
        <w:rPr>
          <w:rFonts w:cs="Times New Roman"/>
          <w:szCs w:val="24"/>
          <w:vertAlign w:val="superscript"/>
        </w:rPr>
        <w:footnoteReference w:id="47"/>
      </w:r>
    </w:p>
    <w:p w:rsidR="00EC2073" w:rsidRPr="00EB63CB" w:rsidRDefault="00EC2073" w:rsidP="00D86C6B">
      <w:pPr>
        <w:rPr>
          <w:rFonts w:cs="Times New Roman"/>
          <w:szCs w:val="24"/>
        </w:rPr>
      </w:pPr>
      <w:r w:rsidRPr="00EB63CB">
        <w:rPr>
          <w:rFonts w:cs="Times New Roman"/>
          <w:szCs w:val="24"/>
        </w:rPr>
        <w:t xml:space="preserve">A l’instar des autres pays exportateurs de pétrole, l’Algérie a subi le choc sur la balance des paiements et finances publiques. Les réserves de changes du pays sont les premiers à avoir subi la baisse du prix de pétrole. La </w:t>
      </w:r>
      <w:r>
        <w:rPr>
          <w:rFonts w:cs="Times New Roman"/>
          <w:szCs w:val="24"/>
        </w:rPr>
        <w:t>Banque d’Algérie</w:t>
      </w:r>
      <w:r w:rsidRPr="00EB63CB">
        <w:rPr>
          <w:rFonts w:cs="Times New Roman"/>
          <w:szCs w:val="24"/>
        </w:rPr>
        <w:t xml:space="preserve"> a indiqué que celles-ci ont enregistré une baisse de 19,02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durant le premier trimestre 2014, passant ainsi de 178,938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fin mars 2015. Cette fort</w:t>
      </w:r>
      <w:r>
        <w:rPr>
          <w:rFonts w:cs="Times New Roman"/>
          <w:szCs w:val="24"/>
        </w:rPr>
        <w:t>e</w:t>
      </w:r>
      <w:r w:rsidRPr="00EB63CB">
        <w:rPr>
          <w:rFonts w:cs="Times New Roman"/>
          <w:szCs w:val="24"/>
        </w:rPr>
        <w:t xml:space="preserve"> contraction des réserves officielles de change</w:t>
      </w:r>
      <w:r>
        <w:rPr>
          <w:rFonts w:cs="Times New Roman"/>
          <w:szCs w:val="24"/>
        </w:rPr>
        <w:t>s</w:t>
      </w:r>
      <w:r w:rsidRPr="00EB63CB">
        <w:rPr>
          <w:rFonts w:cs="Times New Roman"/>
          <w:szCs w:val="24"/>
        </w:rPr>
        <w:t xml:space="preserve"> confirme la délicatesse de la situation, qui renvoie vers une déstabilisation de la solidité financière externe du pays malgré</w:t>
      </w:r>
      <w:r>
        <w:rPr>
          <w:rFonts w:cs="Times New Roman"/>
          <w:szCs w:val="24"/>
        </w:rPr>
        <w:t xml:space="preserve"> l’</w:t>
      </w:r>
      <w:r w:rsidR="00AC2B20">
        <w:rPr>
          <w:rFonts w:cs="Times New Roman"/>
          <w:szCs w:val="24"/>
        </w:rPr>
        <w:t>adéquation de</w:t>
      </w:r>
      <w:r w:rsidRPr="00EB63CB">
        <w:rPr>
          <w:rFonts w:cs="Times New Roman"/>
          <w:szCs w:val="24"/>
        </w:rPr>
        <w:t xml:space="preserve"> leurs niveau reste pour faire face au choc externe vu la situation très faible de la dette extérieure.</w:t>
      </w:r>
    </w:p>
    <w:p w:rsidR="00EC2073" w:rsidRPr="00EB63CB" w:rsidRDefault="00EC2073" w:rsidP="00EC2073">
      <w:pPr>
        <w:ind w:firstLine="708"/>
        <w:rPr>
          <w:rFonts w:cs="Times New Roman"/>
          <w:szCs w:val="24"/>
        </w:rPr>
      </w:pPr>
      <w:r w:rsidRPr="00EB63CB">
        <w:rPr>
          <w:rFonts w:cs="Times New Roman"/>
          <w:szCs w:val="24"/>
        </w:rPr>
        <w:t xml:space="preserve">En effet, le recul du prix des hydrocarbures, de 109,55 </w:t>
      </w:r>
      <w:r>
        <w:rPr>
          <w:rFonts w:cs="Times New Roman"/>
          <w:szCs w:val="24"/>
        </w:rPr>
        <w:t>Dollars</w:t>
      </w:r>
      <w:r w:rsidRPr="00EB63CB">
        <w:rPr>
          <w:rFonts w:cs="Times New Roman"/>
          <w:szCs w:val="24"/>
        </w:rPr>
        <w:t xml:space="preserve"> le baril au premier trimestre 2014 à 75,38 </w:t>
      </w:r>
      <w:r>
        <w:rPr>
          <w:rFonts w:cs="Times New Roman"/>
          <w:szCs w:val="24"/>
        </w:rPr>
        <w:t>Dollars</w:t>
      </w:r>
      <w:r w:rsidRPr="00EB63CB">
        <w:rPr>
          <w:rFonts w:cs="Times New Roman"/>
          <w:szCs w:val="24"/>
        </w:rPr>
        <w:t xml:space="preserve"> le baril au dernier trimestre </w:t>
      </w:r>
      <w:r>
        <w:rPr>
          <w:rFonts w:cs="Times New Roman"/>
          <w:szCs w:val="24"/>
        </w:rPr>
        <w:t>de la même année</w:t>
      </w:r>
      <w:r w:rsidRPr="00EB63CB">
        <w:rPr>
          <w:rFonts w:cs="Times New Roman"/>
          <w:szCs w:val="24"/>
        </w:rPr>
        <w:t xml:space="preserve">, s’est conjugué aussi la contraction des quantités exportées avec moins 8,99%. Ce qui traduit aussi une baisse de moitié des recettes qui se sont établies à 8,7 </w:t>
      </w:r>
      <w:r>
        <w:rPr>
          <w:rFonts w:cs="Times New Roman"/>
          <w:szCs w:val="24"/>
        </w:rPr>
        <w:t>Mds</w:t>
      </w:r>
      <w:r w:rsidRPr="00EB63CB">
        <w:rPr>
          <w:rFonts w:cs="Times New Roman"/>
          <w:szCs w:val="24"/>
        </w:rPr>
        <w:t xml:space="preserve"> de </w:t>
      </w:r>
      <w:r>
        <w:rPr>
          <w:rFonts w:cs="Times New Roman"/>
          <w:szCs w:val="24"/>
        </w:rPr>
        <w:t>Dollars</w:t>
      </w:r>
      <w:r w:rsidRPr="00EB63CB">
        <w:rPr>
          <w:rFonts w:cs="Times New Roman"/>
          <w:szCs w:val="24"/>
        </w:rPr>
        <w:t xml:space="preserve"> à la même période de l’année 2014.</w:t>
      </w:r>
    </w:p>
    <w:p w:rsidR="00EC2073" w:rsidRPr="00EB63CB" w:rsidRDefault="00EC2073" w:rsidP="00EC2073">
      <w:pPr>
        <w:ind w:firstLine="708"/>
        <w:rPr>
          <w:rFonts w:cs="Times New Roman"/>
          <w:szCs w:val="24"/>
        </w:rPr>
      </w:pPr>
      <w:r w:rsidRPr="00EB63CB">
        <w:rPr>
          <w:rFonts w:cs="Times New Roman"/>
          <w:szCs w:val="24"/>
        </w:rPr>
        <w:t xml:space="preserve">Ainsi, les finances qui sont tributaires de la fiscalité pétrolière ont été directement touchées en cette période et cela s’est répercuté sur la capacité de financement de trésor qui s’est contractée de 571,6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au premier trimestre 2015, chutant à 391,6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fin </w:t>
      </w:r>
      <w:r>
        <w:rPr>
          <w:rFonts w:cs="Times New Roman"/>
          <w:szCs w:val="24"/>
        </w:rPr>
        <w:t>M</w:t>
      </w:r>
      <w:r w:rsidRPr="00EB63CB">
        <w:rPr>
          <w:rFonts w:cs="Times New Roman"/>
          <w:szCs w:val="24"/>
        </w:rPr>
        <w:t xml:space="preserve">ars 2015.Cela reflète également le creusement du déficit budgétaire et l’érosion plus rapide des ressources du fonds de régulation qui ont été largement entamées pour couvrir </w:t>
      </w:r>
      <w:r w:rsidRPr="00EB63CB">
        <w:rPr>
          <w:rFonts w:cs="Times New Roman"/>
          <w:szCs w:val="24"/>
        </w:rPr>
        <w:lastRenderedPageBreak/>
        <w:t xml:space="preserve">le déficit budgétaire qui s’est élargi au premier trimestre 2015 soit 476,8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alors qu’il était de 432,3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au premier trimestre de l’année 2014.</w:t>
      </w:r>
      <w:r w:rsidRPr="00EB63CB">
        <w:rPr>
          <w:rFonts w:cs="Times New Roman"/>
          <w:szCs w:val="24"/>
          <w:vertAlign w:val="superscript"/>
        </w:rPr>
        <w:footnoteReference w:id="48"/>
      </w:r>
    </w:p>
    <w:p w:rsidR="00EC2073" w:rsidRPr="00EB63CB" w:rsidRDefault="00EC2073" w:rsidP="00EC2073">
      <w:pPr>
        <w:ind w:firstLine="708"/>
        <w:rPr>
          <w:rFonts w:cs="Times New Roman"/>
          <w:szCs w:val="24"/>
        </w:rPr>
      </w:pPr>
      <w:r w:rsidRPr="00EB63CB">
        <w:rPr>
          <w:rFonts w:cs="Times New Roman"/>
          <w:szCs w:val="24"/>
        </w:rPr>
        <w:t xml:space="preserve">La note de conjoncture de la </w:t>
      </w:r>
      <w:r>
        <w:rPr>
          <w:rFonts w:cs="Times New Roman"/>
          <w:szCs w:val="24"/>
        </w:rPr>
        <w:t>Banque d’Algérie</w:t>
      </w:r>
      <w:r w:rsidRPr="00EB63CB">
        <w:rPr>
          <w:rFonts w:cs="Times New Roman"/>
          <w:szCs w:val="24"/>
        </w:rPr>
        <w:t xml:space="preserve"> fait état de la hausse du taux d’inflation, en moyenne annuelle. Il est passé de 1,60% à </w:t>
      </w:r>
      <w:r>
        <w:rPr>
          <w:rFonts w:cs="Times New Roman"/>
          <w:szCs w:val="24"/>
        </w:rPr>
        <w:t>S</w:t>
      </w:r>
      <w:r w:rsidRPr="00EB63CB">
        <w:rPr>
          <w:rFonts w:cs="Times New Roman"/>
          <w:szCs w:val="24"/>
        </w:rPr>
        <w:t xml:space="preserve">eptembre 2014, à 2,92% à </w:t>
      </w:r>
      <w:r>
        <w:rPr>
          <w:rFonts w:cs="Times New Roman"/>
          <w:szCs w:val="24"/>
        </w:rPr>
        <w:t>D</w:t>
      </w:r>
      <w:r w:rsidRPr="00EB63CB">
        <w:rPr>
          <w:rFonts w:cs="Times New Roman"/>
          <w:szCs w:val="24"/>
        </w:rPr>
        <w:t xml:space="preserve">écembre 2014, pour atteindre 4,06% à </w:t>
      </w:r>
      <w:r>
        <w:rPr>
          <w:rFonts w:cs="Times New Roman"/>
          <w:szCs w:val="24"/>
        </w:rPr>
        <w:t>M</w:t>
      </w:r>
      <w:r w:rsidRPr="00EB63CB">
        <w:rPr>
          <w:rFonts w:cs="Times New Roman"/>
          <w:szCs w:val="24"/>
        </w:rPr>
        <w:t>ars 2015. Pour ce qui est de l’indice national, le taux d’inflation est passé de 3,82 % de décembre 2014 à 4,62% à mars 2015.</w:t>
      </w:r>
    </w:p>
    <w:p w:rsidR="00EC2073" w:rsidRPr="00EB63CB" w:rsidRDefault="00EC2073" w:rsidP="00EC2073">
      <w:pPr>
        <w:spacing w:after="0"/>
        <w:ind w:firstLine="708"/>
        <w:rPr>
          <w:rFonts w:cs="Times New Roman"/>
          <w:szCs w:val="24"/>
        </w:rPr>
      </w:pPr>
      <w:r w:rsidRPr="00EB63CB">
        <w:rPr>
          <w:rFonts w:cs="Times New Roman"/>
          <w:szCs w:val="24"/>
        </w:rPr>
        <w:t>On constate que l’augmentation du niveau des ressources pétrolières constitue un facteur fort de surliquidité, du fait de la domiciliation de la SONATRACH auprès de la Banque Extérieur d’Algérie</w:t>
      </w:r>
      <w:r w:rsidRPr="00EB63CB">
        <w:rPr>
          <w:rFonts w:cs="Times New Roman"/>
          <w:szCs w:val="24"/>
          <w:vertAlign w:val="superscript"/>
        </w:rPr>
        <w:footnoteReference w:id="49"/>
      </w:r>
      <w:r w:rsidRPr="00EB63CB">
        <w:rPr>
          <w:rFonts w:cs="Times New Roman"/>
          <w:szCs w:val="24"/>
        </w:rPr>
        <w:t xml:space="preserve">. Le responsable de la </w:t>
      </w:r>
      <w:r>
        <w:rPr>
          <w:rFonts w:cs="Times New Roman"/>
          <w:szCs w:val="24"/>
        </w:rPr>
        <w:t>Banque d’Algérie</w:t>
      </w:r>
      <w:r w:rsidRPr="00EB63CB">
        <w:rPr>
          <w:rFonts w:cs="Times New Roman"/>
          <w:szCs w:val="24"/>
        </w:rPr>
        <w:t xml:space="preserve"> a confirmé sur l’impact des recettes pétrolières sur la détermination de la liquidité du secteur bancaire et nous avons illustré ses réponses dans le schéma suivant :</w:t>
      </w:r>
    </w:p>
    <w:p w:rsidR="00F61B78" w:rsidRDefault="00F61B78" w:rsidP="00677822">
      <w:pPr>
        <w:ind w:firstLine="0"/>
        <w:rPr>
          <w:b/>
        </w:rPr>
      </w:pPr>
    </w:p>
    <w:p w:rsidR="00EC2073" w:rsidRPr="00EB63CB" w:rsidRDefault="00414B94" w:rsidP="00D86C6B">
      <w:pPr>
        <w:ind w:firstLine="0"/>
        <w:jc w:val="center"/>
        <w:rPr>
          <w:szCs w:val="24"/>
        </w:rPr>
      </w:pPr>
      <w:r>
        <w:rPr>
          <w:b/>
        </w:rPr>
        <w:t>Schéma N°03</w:t>
      </w:r>
      <w:r w:rsidR="00EC2073" w:rsidRPr="00677822">
        <w:rPr>
          <w:b/>
        </w:rPr>
        <w:t>:</w:t>
      </w:r>
      <w:r w:rsidR="00EC2073" w:rsidRPr="00EB63CB">
        <w:t xml:space="preserve"> L’impact des recettes pétrolières dans la détermination de la liquidité bancaire</w:t>
      </w:r>
      <w:r w:rsidR="00677822">
        <w:t xml:space="preserve">. </w:t>
      </w:r>
    </w:p>
    <w:p w:rsidR="00EC2073" w:rsidRPr="00EB63CB" w:rsidRDefault="00EC2073" w:rsidP="00EB0D2C">
      <w:pPr>
        <w:ind w:firstLine="0"/>
        <w:jc w:val="right"/>
        <w:rPr>
          <w:rFonts w:cs="Times New Roman"/>
          <w:szCs w:val="24"/>
        </w:rPr>
      </w:pPr>
      <w:r>
        <w:rPr>
          <w:rFonts w:cs="Times New Roman"/>
          <w:noProof/>
          <w:szCs w:val="24"/>
        </w:rPr>
        <w:drawing>
          <wp:anchor distT="0" distB="0" distL="114300" distR="114300" simplePos="0" relativeHeight="251660288" behindDoc="1" locked="0" layoutInCell="1" allowOverlap="1" wp14:anchorId="58EFAB08" wp14:editId="7D814405">
            <wp:simplePos x="0" y="0"/>
            <wp:positionH relativeFrom="column">
              <wp:posOffset>3810</wp:posOffset>
            </wp:positionH>
            <wp:positionV relativeFrom="paragraph">
              <wp:posOffset>3175</wp:posOffset>
            </wp:positionV>
            <wp:extent cx="5666400" cy="2710800"/>
            <wp:effectExtent l="19050" t="19050" r="10795" b="13970"/>
            <wp:wrapTight wrapText="bothSides">
              <wp:wrapPolygon edited="0">
                <wp:start x="-73" y="-152"/>
                <wp:lineTo x="-73" y="21560"/>
                <wp:lineTo x="21569" y="21560"/>
                <wp:lineTo x="21569" y="-152"/>
                <wp:lineTo x="-73" y="-152"/>
              </wp:wrapPolygon>
            </wp:wrapTight>
            <wp:docPr id="15" name="Image 15" descr="C:\Users\djidji\Desktop\i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djidji\Desktop\ii.png"/>
                    <pic:cNvPicPr>
                      <a:picLocks noChangeAspect="1" noChangeArrowheads="1"/>
                    </pic:cNvPicPr>
                  </pic:nvPicPr>
                  <pic:blipFill rotWithShape="1">
                    <a:blip r:embed="rId32">
                      <a:extLst>
                        <a:ext uri="{28A0092B-C50C-407E-A947-70E740481C1C}">
                          <a14:useLocalDpi xmlns:a14="http://schemas.microsoft.com/office/drawing/2010/main" val="0"/>
                        </a:ext>
                      </a:extLst>
                    </a:blip>
                    <a:srcRect l="927" t="3297" r="487" b="3297"/>
                    <a:stretch/>
                  </pic:blipFill>
                  <pic:spPr bwMode="auto">
                    <a:xfrm>
                      <a:off x="0" y="0"/>
                      <a:ext cx="5666400" cy="2710800"/>
                    </a:xfrm>
                    <a:prstGeom prst="rect">
                      <a:avLst/>
                    </a:prstGeom>
                    <a:noFill/>
                    <a:ln>
                      <a:solidFill>
                        <a:schemeClr val="tx1">
                          <a:alpha val="99000"/>
                        </a:schemeClr>
                      </a:solidFill>
                    </a:ln>
                    <a:extLst>
                      <a:ext uri="{53640926-AAD7-44D8-BBD7-CCE9431645EC}">
                        <a14:shadowObscured xmlns:a14="http://schemas.microsoft.com/office/drawing/2010/main"/>
                      </a:ext>
                    </a:extLst>
                  </pic:spPr>
                </pic:pic>
              </a:graphicData>
            </a:graphic>
          </wp:anchor>
        </w:drawing>
      </w:r>
      <w:r w:rsidR="00B72B80" w:rsidRPr="00EB63CB">
        <w:rPr>
          <w:rFonts w:cs="Times New Roman"/>
          <w:b/>
          <w:bCs/>
        </w:rPr>
        <w:t>Source </w:t>
      </w:r>
      <w:r w:rsidR="00F430A1" w:rsidRPr="00EB63CB">
        <w:rPr>
          <w:rFonts w:cs="Times New Roman"/>
          <w:b/>
          <w:bCs/>
        </w:rPr>
        <w:t>:</w:t>
      </w:r>
      <w:r w:rsidR="00F430A1" w:rsidRPr="00D93FF0">
        <w:rPr>
          <w:rFonts w:cs="Times New Roman"/>
          <w:sz w:val="22"/>
        </w:rPr>
        <w:t xml:space="preserve"> AFTIS.H</w:t>
      </w:r>
      <w:r w:rsidR="006023F3" w:rsidRPr="00D93FF0">
        <w:rPr>
          <w:rFonts w:cs="Times New Roman"/>
          <w:sz w:val="22"/>
        </w:rPr>
        <w:t>, thèse de magister, P 198</w:t>
      </w:r>
      <w:r w:rsidR="00B72B80" w:rsidRPr="00EB63CB">
        <w:rPr>
          <w:rFonts w:cs="Times New Roman"/>
        </w:rPr>
        <w:t>.</w:t>
      </w:r>
    </w:p>
    <w:p w:rsidR="00EC2073" w:rsidRPr="00EB63CB" w:rsidRDefault="00EC2073" w:rsidP="00EC2073">
      <w:pPr>
        <w:ind w:firstLine="708"/>
        <w:rPr>
          <w:rFonts w:cs="Times New Roman"/>
          <w:szCs w:val="24"/>
        </w:rPr>
      </w:pPr>
      <w:r w:rsidRPr="00EB63CB">
        <w:rPr>
          <w:rFonts w:cs="Times New Roman"/>
          <w:szCs w:val="24"/>
        </w:rPr>
        <w:lastRenderedPageBreak/>
        <w:t xml:space="preserve">On </w:t>
      </w:r>
      <w:r>
        <w:rPr>
          <w:rFonts w:cs="Times New Roman"/>
          <w:szCs w:val="24"/>
        </w:rPr>
        <w:t>constate</w:t>
      </w:r>
      <w:r w:rsidRPr="00EB63CB">
        <w:rPr>
          <w:rFonts w:cs="Times New Roman"/>
          <w:szCs w:val="24"/>
        </w:rPr>
        <w:t xml:space="preserve"> que le niveau de liquidité bancaire augmente à chaque fois que </w:t>
      </w:r>
      <w:r>
        <w:rPr>
          <w:rFonts w:cs="Times New Roman"/>
          <w:szCs w:val="24"/>
        </w:rPr>
        <w:t xml:space="preserve">la </w:t>
      </w:r>
      <w:r w:rsidRPr="00EB63CB">
        <w:rPr>
          <w:rFonts w:cs="Times New Roman"/>
          <w:szCs w:val="24"/>
        </w:rPr>
        <w:t>SONATRACH effectue des dépôts auprès de sa banque, et que cette liquidité baisse dans le cas du paiement de fiscalité</w:t>
      </w:r>
      <w:r>
        <w:rPr>
          <w:rFonts w:cs="Times New Roman"/>
          <w:szCs w:val="24"/>
        </w:rPr>
        <w:t>s</w:t>
      </w:r>
      <w:r w:rsidRPr="00EB63CB">
        <w:rPr>
          <w:rFonts w:cs="Times New Roman"/>
          <w:szCs w:val="24"/>
        </w:rPr>
        <w:t xml:space="preserve"> pétrolière</w:t>
      </w:r>
      <w:r>
        <w:rPr>
          <w:rFonts w:cs="Times New Roman"/>
          <w:szCs w:val="24"/>
        </w:rPr>
        <w:t xml:space="preserve">s. </w:t>
      </w:r>
    </w:p>
    <w:p w:rsidR="00EC2073" w:rsidRPr="00EB63CB" w:rsidRDefault="00EC2073" w:rsidP="00EC2073">
      <w:pPr>
        <w:spacing w:after="0"/>
        <w:ind w:firstLine="708"/>
        <w:rPr>
          <w:rFonts w:cs="Times New Roman"/>
          <w:szCs w:val="24"/>
        </w:rPr>
      </w:pPr>
      <w:r w:rsidRPr="00EB63CB">
        <w:rPr>
          <w:rFonts w:cs="Times New Roman"/>
          <w:szCs w:val="24"/>
        </w:rPr>
        <w:t>Un responsable de marché monétaire  a informés que la Banque Extérieur d’Algérie</w:t>
      </w:r>
    </w:p>
    <w:p w:rsidR="00EC2073" w:rsidRPr="00EB63CB" w:rsidRDefault="00EC2073" w:rsidP="00EC2073">
      <w:pPr>
        <w:spacing w:after="0"/>
        <w:rPr>
          <w:rFonts w:cs="Times New Roman"/>
          <w:szCs w:val="24"/>
        </w:rPr>
      </w:pPr>
      <w:r w:rsidRPr="00EB63CB">
        <w:rPr>
          <w:rFonts w:cs="Times New Roman"/>
          <w:szCs w:val="24"/>
        </w:rPr>
        <w:t xml:space="preserve">(BEA) réduit son montant de </w:t>
      </w:r>
      <w:r>
        <w:rPr>
          <w:rFonts w:cs="Times New Roman"/>
          <w:szCs w:val="24"/>
        </w:rPr>
        <w:t>facilités</w:t>
      </w:r>
      <w:r w:rsidRPr="00EB63CB">
        <w:rPr>
          <w:rFonts w:cs="Times New Roman"/>
          <w:szCs w:val="24"/>
        </w:rPr>
        <w:t xml:space="preserve"> de dépôts à chaque fois que celle-ci est soumise au paiement de la taxe pétrolière, ce qui confirme la sensibilité importante du système bancaire Algérien aux recettes hydrocarbures.</w:t>
      </w:r>
    </w:p>
    <w:p w:rsidR="00EC2073" w:rsidRPr="00EB63CB" w:rsidRDefault="00EC2073" w:rsidP="00977420">
      <w:pPr>
        <w:pStyle w:val="Titre3"/>
        <w:numPr>
          <w:ilvl w:val="1"/>
          <w:numId w:val="48"/>
        </w:numPr>
      </w:pPr>
      <w:bookmarkStart w:id="112" w:name="_Toc431942046"/>
      <w:bookmarkStart w:id="113" w:name="_Toc431980045"/>
      <w:r w:rsidRPr="00EB63CB">
        <w:t>La distribution des crédits à l’économie</w:t>
      </w:r>
      <w:bookmarkEnd w:id="112"/>
      <w:bookmarkEnd w:id="113"/>
    </w:p>
    <w:p w:rsidR="00EC2073" w:rsidRPr="00EB63CB" w:rsidRDefault="00EC2073" w:rsidP="00EC2073">
      <w:pPr>
        <w:ind w:firstLine="708"/>
        <w:rPr>
          <w:rFonts w:cs="Times New Roman"/>
          <w:szCs w:val="24"/>
        </w:rPr>
      </w:pPr>
      <w:r>
        <w:rPr>
          <w:rFonts w:cs="Times New Roman"/>
          <w:szCs w:val="24"/>
        </w:rPr>
        <w:t>En revanche,</w:t>
      </w:r>
      <w:r w:rsidRPr="00EB63CB">
        <w:rPr>
          <w:rFonts w:cs="Times New Roman"/>
          <w:szCs w:val="24"/>
        </w:rPr>
        <w:t xml:space="preserve"> les crédits à l’économie sont en évolution pour atteindre 6 499,4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fin </w:t>
      </w:r>
      <w:r>
        <w:rPr>
          <w:rFonts w:cs="Times New Roman"/>
          <w:szCs w:val="24"/>
        </w:rPr>
        <w:t>D</w:t>
      </w:r>
      <w:r w:rsidRPr="00EB63CB">
        <w:rPr>
          <w:rFonts w:cs="Times New Roman"/>
          <w:szCs w:val="24"/>
        </w:rPr>
        <w:t xml:space="preserve">écembre 2014 contre 5 156,3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fin </w:t>
      </w:r>
      <w:r>
        <w:rPr>
          <w:rFonts w:cs="Times New Roman"/>
          <w:szCs w:val="24"/>
        </w:rPr>
        <w:t>D</w:t>
      </w:r>
      <w:r w:rsidRPr="00EB63CB">
        <w:rPr>
          <w:rFonts w:cs="Times New Roman"/>
          <w:szCs w:val="24"/>
        </w:rPr>
        <w:t>écembre 2013.</w:t>
      </w:r>
    </w:p>
    <w:p w:rsidR="00EC2073" w:rsidRPr="00EB63CB" w:rsidRDefault="00EC2073" w:rsidP="005E4959">
      <w:pPr>
        <w:ind w:firstLine="708"/>
        <w:rPr>
          <w:rFonts w:cs="Times New Roman"/>
          <w:szCs w:val="24"/>
        </w:rPr>
      </w:pPr>
      <w:r w:rsidRPr="00EB63CB">
        <w:rPr>
          <w:rFonts w:cs="Times New Roman"/>
          <w:szCs w:val="24"/>
        </w:rPr>
        <w:t>Le dynamisme des crédits bancaires à l’économie traduit l’amélioration de la structure et des conditions de financement, suite à l’important soutien financier apportée par l’Etat aux PME depuis le 4eme trimestre de 2011. 44% des crédits vont aux entreprises privées, 71% à l’investissement. Les crédits bancaires destinés aux entreprises privées ont atteint 3 118,7 Mds</w:t>
      </w:r>
      <w:r w:rsidR="00032F3C">
        <w:rPr>
          <w:rFonts w:cs="Times New Roman"/>
          <w:szCs w:val="24"/>
        </w:rPr>
        <w:t xml:space="preserve"> </w:t>
      </w:r>
      <w:r>
        <w:rPr>
          <w:rFonts w:cs="Times New Roman"/>
          <w:szCs w:val="24"/>
        </w:rPr>
        <w:t>de</w:t>
      </w:r>
      <w:r w:rsidR="00032F3C">
        <w:rPr>
          <w:rFonts w:cs="Times New Roman"/>
          <w:szCs w:val="24"/>
        </w:rPr>
        <w:t xml:space="preserve"> </w:t>
      </w:r>
      <w:r>
        <w:rPr>
          <w:rFonts w:cs="Times New Roman"/>
          <w:szCs w:val="24"/>
        </w:rPr>
        <w:t>Dinars</w:t>
      </w:r>
      <w:r w:rsidRPr="00EB63CB">
        <w:rPr>
          <w:rFonts w:cs="Times New Roman"/>
          <w:szCs w:val="24"/>
        </w:rPr>
        <w:t xml:space="preserve"> à fin décembre 2014 contre 2 722,0 Mds </w:t>
      </w:r>
      <w:r>
        <w:rPr>
          <w:rFonts w:cs="Times New Roman"/>
          <w:szCs w:val="24"/>
        </w:rPr>
        <w:t>de Dinars</w:t>
      </w:r>
      <w:r w:rsidRPr="00EB63CB">
        <w:rPr>
          <w:rFonts w:cs="Times New Roman"/>
          <w:szCs w:val="24"/>
        </w:rPr>
        <w:t xml:space="preserve"> à fin 2013</w:t>
      </w:r>
      <w:r w:rsidR="005E4959">
        <w:rPr>
          <w:rFonts w:cs="Times New Roman"/>
          <w:szCs w:val="24"/>
        </w:rPr>
        <w:t>.</w:t>
      </w:r>
      <w:r w:rsidRPr="00EB63CB">
        <w:rPr>
          <w:rFonts w:cs="Times New Roman"/>
          <w:szCs w:val="24"/>
        </w:rPr>
        <w:t xml:space="preserve"> En intégrant les crédits aux ménages, les crédits au privés augmentent à 2 489 Mds </w:t>
      </w:r>
      <w:r>
        <w:rPr>
          <w:rFonts w:cs="Times New Roman"/>
          <w:szCs w:val="24"/>
        </w:rPr>
        <w:t>de Dinars</w:t>
      </w:r>
      <w:r w:rsidRPr="00EB63CB">
        <w:rPr>
          <w:rFonts w:cs="Times New Roman"/>
          <w:szCs w:val="24"/>
        </w:rPr>
        <w:t>, par contre les crédits accordés au secteur public ont atteint 3 380,2 à fin décembre 2014 et 2 434 ,0 en 2013</w:t>
      </w:r>
      <w:r w:rsidR="00667B65">
        <w:rPr>
          <w:rFonts w:cs="Times New Roman"/>
          <w:szCs w:val="24"/>
        </w:rPr>
        <w:t>(voir le graphe N° 07</w:t>
      </w:r>
      <w:r w:rsidRPr="00EB63CB">
        <w:rPr>
          <w:rFonts w:cs="Times New Roman"/>
          <w:szCs w:val="24"/>
        </w:rPr>
        <w:t>).</w:t>
      </w:r>
    </w:p>
    <w:p w:rsidR="00677822" w:rsidRPr="002774B6" w:rsidRDefault="00EC2073" w:rsidP="006D4521">
      <w:pPr>
        <w:ind w:firstLine="0"/>
      </w:pPr>
      <w:r w:rsidRPr="00EB63CB">
        <w:rPr>
          <w:b/>
          <w:bCs/>
        </w:rPr>
        <w:t>Graphe N° 0</w:t>
      </w:r>
      <w:r>
        <w:rPr>
          <w:b/>
          <w:bCs/>
        </w:rPr>
        <w:t>7</w:t>
      </w:r>
      <w:r w:rsidRPr="00EB63CB">
        <w:rPr>
          <w:b/>
          <w:bCs/>
        </w:rPr>
        <w:t> : La distribution des crédits par secteur</w:t>
      </w:r>
      <w:r w:rsidR="00677822">
        <w:rPr>
          <w:b/>
          <w:bCs/>
        </w:rPr>
        <w:t xml:space="preserve">. </w:t>
      </w:r>
    </w:p>
    <w:p w:rsidR="00EC2073" w:rsidRDefault="00EC2073" w:rsidP="006D4521">
      <w:pPr>
        <w:spacing w:before="0" w:after="0" w:line="240" w:lineRule="auto"/>
        <w:ind w:firstLine="0"/>
        <w:jc w:val="center"/>
        <w:rPr>
          <w:rFonts w:cs="Times New Roman"/>
          <w:szCs w:val="24"/>
        </w:rPr>
      </w:pPr>
      <w:r>
        <w:rPr>
          <w:rFonts w:cs="Times New Roman"/>
          <w:noProof/>
          <w:szCs w:val="24"/>
        </w:rPr>
        <w:drawing>
          <wp:inline distT="0" distB="0" distL="0" distR="0" wp14:anchorId="2CAE58DF" wp14:editId="37943582">
            <wp:extent cx="4590388" cy="2342508"/>
            <wp:effectExtent l="19050" t="19050" r="20320" b="20320"/>
            <wp:docPr id="14" name="Image 14" descr="C:\Users\djidji\Desktop\secte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C:\Users\djidji\Desktop\secteur.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07045" cy="2351008"/>
                    </a:xfrm>
                    <a:prstGeom prst="rect">
                      <a:avLst/>
                    </a:prstGeom>
                    <a:noFill/>
                    <a:ln>
                      <a:solidFill>
                        <a:schemeClr val="tx1">
                          <a:alpha val="98000"/>
                        </a:schemeClr>
                      </a:solidFill>
                    </a:ln>
                  </pic:spPr>
                </pic:pic>
              </a:graphicData>
            </a:graphic>
          </wp:inline>
        </w:drawing>
      </w:r>
    </w:p>
    <w:p w:rsidR="006D4521" w:rsidRPr="006D4521" w:rsidRDefault="006D4521" w:rsidP="00A96098">
      <w:pPr>
        <w:spacing w:before="0" w:after="0" w:line="240" w:lineRule="auto"/>
        <w:ind w:firstLine="0"/>
        <w:jc w:val="center"/>
        <w:rPr>
          <w:sz w:val="20"/>
          <w:szCs w:val="20"/>
        </w:rPr>
      </w:pPr>
      <w:r w:rsidRPr="006D4521">
        <w:rPr>
          <w:sz w:val="20"/>
          <w:szCs w:val="20"/>
        </w:rPr>
        <w:t xml:space="preserve">Source : </w:t>
      </w:r>
      <w:r w:rsidR="00A96098">
        <w:rPr>
          <w:sz w:val="20"/>
          <w:szCs w:val="20"/>
        </w:rPr>
        <w:t>Bulletin statistique du</w:t>
      </w:r>
      <w:r w:rsidRPr="006D4521">
        <w:rPr>
          <w:sz w:val="20"/>
          <w:szCs w:val="20"/>
        </w:rPr>
        <w:t xml:space="preserve"> rapport de la banque d’Algérie</w:t>
      </w:r>
      <w:r w:rsidR="00A96098" w:rsidRPr="006D4521">
        <w:rPr>
          <w:sz w:val="20"/>
          <w:szCs w:val="20"/>
        </w:rPr>
        <w:t>,</w:t>
      </w:r>
      <w:r w:rsidR="00B05883">
        <w:rPr>
          <w:sz w:val="20"/>
          <w:szCs w:val="20"/>
        </w:rPr>
        <w:t xml:space="preserve"> 2015</w:t>
      </w:r>
      <w:r w:rsidR="00373938">
        <w:rPr>
          <w:sz w:val="20"/>
          <w:szCs w:val="20"/>
        </w:rPr>
        <w:t>page</w:t>
      </w:r>
      <w:r w:rsidRPr="006D4521">
        <w:rPr>
          <w:sz w:val="20"/>
          <w:szCs w:val="20"/>
        </w:rPr>
        <w:t xml:space="preserve"> 13.</w:t>
      </w:r>
      <w:r w:rsidR="00A96098">
        <w:rPr>
          <w:rStyle w:val="Appelnotedebasdep"/>
          <w:sz w:val="20"/>
          <w:szCs w:val="20"/>
        </w:rPr>
        <w:footnoteReference w:id="50"/>
      </w:r>
    </w:p>
    <w:p w:rsidR="00EC2073" w:rsidRPr="00EB63CB" w:rsidRDefault="00EC2073" w:rsidP="00677822">
      <w:r w:rsidRPr="00EB63CB">
        <w:lastRenderedPageBreak/>
        <w:t>L’amélioration de la structure et des conditions de financement (rallongement de la maturité et diminution des coûts) a contribué au dynamisme des crédits à l’économie au cours des 3 dernières années, visant à stimuler la croissance économique hors hydrocarbures à travers le développement des crédits sains, notamment au PME.</w:t>
      </w:r>
    </w:p>
    <w:p w:rsidR="00EC2073" w:rsidRPr="004018B7" w:rsidRDefault="00373938" w:rsidP="00977420">
      <w:pPr>
        <w:pStyle w:val="Titre2"/>
        <w:numPr>
          <w:ilvl w:val="0"/>
          <w:numId w:val="45"/>
        </w:numPr>
      </w:pPr>
      <w:bookmarkStart w:id="114" w:name="_Toc431980046"/>
      <w:r>
        <w:t xml:space="preserve"> </w:t>
      </w:r>
      <w:r w:rsidR="00EC2073" w:rsidRPr="004018B7">
        <w:t>Assainissement et la recapitalisation du secteur bancaire</w:t>
      </w:r>
      <w:bookmarkEnd w:id="114"/>
    </w:p>
    <w:p w:rsidR="00EC2073" w:rsidRPr="004018B7" w:rsidRDefault="00977420" w:rsidP="00373938">
      <w:pPr>
        <w:pStyle w:val="Titre3"/>
        <w:numPr>
          <w:ilvl w:val="0"/>
          <w:numId w:val="0"/>
        </w:numPr>
        <w:ind w:left="720"/>
      </w:pPr>
      <w:bookmarkStart w:id="115" w:name="_Toc431980047"/>
      <w:r>
        <w:t xml:space="preserve">3.1 </w:t>
      </w:r>
      <w:r w:rsidR="00373938">
        <w:t xml:space="preserve"> </w:t>
      </w:r>
      <w:r w:rsidR="00EC2073" w:rsidRPr="004018B7">
        <w:t>Définition et objectifs de l’assainissement</w:t>
      </w:r>
      <w:bookmarkEnd w:id="115"/>
    </w:p>
    <w:p w:rsidR="00EC2073" w:rsidRPr="00EB63CB" w:rsidRDefault="00EC2073" w:rsidP="00677822">
      <w:r w:rsidRPr="00EB63CB">
        <w:t xml:space="preserve">L’assainissement peut être défini comme </w:t>
      </w:r>
      <w:r>
        <w:t xml:space="preserve">étant </w:t>
      </w:r>
      <w:r w:rsidRPr="00EB63CB">
        <w:t>le rachat par le trésor public des créances sur les entreprises publiques et privées. Le trésor rachète les créances des banques en contractant des dettes auprès d’elles, ces dettes sont remboursées aux banques sur une longue période</w:t>
      </w:r>
      <w:r w:rsidRPr="00EB63CB">
        <w:rPr>
          <w:vertAlign w:val="superscript"/>
        </w:rPr>
        <w:footnoteReference w:id="51"/>
      </w:r>
      <w:r w:rsidRPr="00EB63CB">
        <w:t>.</w:t>
      </w:r>
    </w:p>
    <w:p w:rsidR="00EC2073" w:rsidRPr="00EB63CB" w:rsidRDefault="00EC2073" w:rsidP="00677822">
      <w:r w:rsidRPr="00EB63CB">
        <w:t>Le trésor public a effectué une multitude d’opérations d’assainissement du portefeuille des banques publiques en prennent en charge les dettes du secteur public.</w:t>
      </w:r>
    </w:p>
    <w:p w:rsidR="00EC2073" w:rsidRPr="00EB63CB" w:rsidRDefault="00EC2073" w:rsidP="00677822">
      <w:r w:rsidRPr="00EB63CB">
        <w:t>L’action du trésor public en matière d’assainissement de l’économie, n’a pas eu d’effet sur le secteur réel qui est porteur de croissance et créateur d’emploi.</w:t>
      </w:r>
    </w:p>
    <w:p w:rsidR="00EC2073" w:rsidRPr="00EB63CB" w:rsidRDefault="00EC2073" w:rsidP="00677822">
      <w:r w:rsidRPr="00EB63CB">
        <w:t>Le trésor public a opéré un assainissement de type administratif en procédant à la répartition d’une « enveloppe » entre les entreprises en visant du double objectif :</w:t>
      </w:r>
    </w:p>
    <w:p w:rsidR="00EC2073" w:rsidRPr="00EB63CB" w:rsidRDefault="00EC2073" w:rsidP="00D95740">
      <w:pPr>
        <w:numPr>
          <w:ilvl w:val="0"/>
          <w:numId w:val="17"/>
        </w:numPr>
        <w:spacing w:before="0" w:after="200"/>
        <w:rPr>
          <w:rFonts w:cs="Times New Roman"/>
          <w:szCs w:val="24"/>
        </w:rPr>
      </w:pPr>
      <w:r w:rsidRPr="00EB63CB">
        <w:rPr>
          <w:rFonts w:cs="Times New Roman"/>
          <w:szCs w:val="24"/>
        </w:rPr>
        <w:t>Veuillez au respect des équilibres macro financière</w:t>
      </w:r>
    </w:p>
    <w:p w:rsidR="00EC2073" w:rsidRPr="00EB63CB" w:rsidRDefault="00EC2073" w:rsidP="00D95740">
      <w:pPr>
        <w:numPr>
          <w:ilvl w:val="0"/>
          <w:numId w:val="17"/>
        </w:numPr>
        <w:spacing w:before="0" w:after="200"/>
        <w:rPr>
          <w:rFonts w:cs="Times New Roman"/>
          <w:szCs w:val="24"/>
        </w:rPr>
      </w:pPr>
      <w:r w:rsidRPr="00EB63CB">
        <w:rPr>
          <w:rFonts w:cs="Times New Roman"/>
          <w:szCs w:val="24"/>
        </w:rPr>
        <w:t>Rétablir la solvabilité et la liquidité des banques.</w:t>
      </w:r>
    </w:p>
    <w:p w:rsidR="00EC2073" w:rsidRDefault="00EC2073" w:rsidP="00D86C6B">
      <w:r w:rsidRPr="00EB63CB">
        <w:t>En fait, lors des opérations d’assainissement du secteur productif, le trésor n’a pas fait prévaloir sa qualité de propriétaire final des entreprises publiques. Une telle approche aurait permis de faire le lien entre la restructuration industrielle des entreprises et leur assainissement financier et, par conséquent, de traiter, au fond, les causes profondes des créances non performantes détenues par les banques publiques.</w:t>
      </w:r>
    </w:p>
    <w:p w:rsidR="00EC2073" w:rsidRPr="00677822" w:rsidRDefault="00EC2073" w:rsidP="00677822">
      <w:pPr>
        <w:rPr>
          <w:sz w:val="20"/>
          <w:szCs w:val="20"/>
        </w:rPr>
      </w:pPr>
      <w:r w:rsidRPr="00EB63CB">
        <w:t xml:space="preserve">Dans le cadre de l’assainissement </w:t>
      </w:r>
      <w:r w:rsidR="00AC2B20" w:rsidRPr="00EB63CB">
        <w:t>patrimoniales</w:t>
      </w:r>
      <w:r w:rsidRPr="00EB63CB">
        <w:t xml:space="preserve"> banques publiques, effectué </w:t>
      </w:r>
      <w:r>
        <w:t>sur plusieurs</w:t>
      </w:r>
      <w:r w:rsidRPr="00EB63CB">
        <w:t xml:space="preserve"> étapes au cours des deux dernières décennies, partiellement en cash et partiellement par émissions de titres, l’Etat propriétaire a procédé, entre 2008</w:t>
      </w:r>
      <w:r>
        <w:t xml:space="preserve"> et </w:t>
      </w:r>
      <w:r w:rsidRPr="00EB63CB">
        <w:t xml:space="preserve">2011, au remboursement </w:t>
      </w:r>
      <w:r w:rsidRPr="00EB63CB">
        <w:lastRenderedPageBreak/>
        <w:t>par anticipation d’une grande partie des obligations émises précédemment</w:t>
      </w:r>
      <w:r w:rsidRPr="00EB63CB">
        <w:rPr>
          <w:vertAlign w:val="superscript"/>
        </w:rPr>
        <w:footnoteReference w:id="52"/>
      </w:r>
      <w:r w:rsidRPr="00EB63CB">
        <w:t>. Celles-ci correspondaient au rachat de créances non performantes</w:t>
      </w:r>
      <w:r>
        <w:t>,</w:t>
      </w:r>
      <w:r w:rsidRPr="00EB63CB">
        <w:t xml:space="preserve"> par l’Etat</w:t>
      </w:r>
      <w:r>
        <w:t>,</w:t>
      </w:r>
      <w:r w:rsidRPr="00EB63CB">
        <w:t xml:space="preserve"> que les banques publiques détenaient </w:t>
      </w:r>
      <w:r>
        <w:t>dans</w:t>
      </w:r>
      <w:r w:rsidRPr="00EB63CB">
        <w:t xml:space="preserve"> des entreprises publiques déstructurées ou dissoutes et quelques opérations effectuées pour</w:t>
      </w:r>
      <w:r>
        <w:rPr>
          <w:rStyle w:val="Marquedecommentaire"/>
          <w:vanish/>
        </w:rPr>
        <w:t xml:space="preserve"> leur     </w:t>
      </w:r>
      <w:r w:rsidRPr="00E07E46">
        <w:t>compte</w:t>
      </w:r>
      <w:r w:rsidRPr="00EB63CB">
        <w:t>. La dette publique, au titre de ce type de créances a</w:t>
      </w:r>
      <w:r w:rsidR="000D7AAE">
        <w:t xml:space="preserve"> </w:t>
      </w:r>
      <w:r w:rsidRPr="00EB63CB">
        <w:t xml:space="preserve">ainsi été ramenée de 616,5 </w:t>
      </w:r>
      <w:r>
        <w:t>Mds</w:t>
      </w:r>
      <w:r w:rsidRPr="00EB63CB">
        <w:t xml:space="preserve"> de </w:t>
      </w:r>
      <w:r>
        <w:t>Dinars</w:t>
      </w:r>
      <w:r w:rsidRPr="00EB63CB">
        <w:t xml:space="preserve"> à la fin 2007 à 321,4 </w:t>
      </w:r>
      <w:r>
        <w:t>Mds</w:t>
      </w:r>
      <w:r w:rsidRPr="00EB63CB">
        <w:t xml:space="preserve"> de </w:t>
      </w:r>
      <w:r>
        <w:t>Dinars</w:t>
      </w:r>
      <w:r w:rsidRPr="00EB63CB">
        <w:t xml:space="preserve"> à la fin 2008 et enfin à 179,3 </w:t>
      </w:r>
      <w:r>
        <w:t>Mds</w:t>
      </w:r>
      <w:r w:rsidRPr="00EB63CB">
        <w:t xml:space="preserve"> de </w:t>
      </w:r>
      <w:r>
        <w:t>Dinars</w:t>
      </w:r>
      <w:r w:rsidRPr="00EB63CB">
        <w:t xml:space="preserve"> à la fin 2009. D’un autre côté, entre 2009 et 2011, le trésor a effectué des rachats additionnels de créances non performantes sur les entreprises publiques viables mais déstructurées, ainsi que l’agriculture pour un montant de 72,0 </w:t>
      </w:r>
      <w:r>
        <w:t>Mds</w:t>
      </w:r>
      <w:r w:rsidRPr="00EB63CB">
        <w:t xml:space="preserve"> de </w:t>
      </w:r>
      <w:r>
        <w:t>Dinars</w:t>
      </w:r>
      <w:r w:rsidRPr="00EB63CB">
        <w:t xml:space="preserve"> en 2009, de 297,9 </w:t>
      </w:r>
      <w:r>
        <w:t>Mds</w:t>
      </w:r>
      <w:r w:rsidRPr="00EB63CB">
        <w:t xml:space="preserve"> de </w:t>
      </w:r>
      <w:r>
        <w:t>Dinars</w:t>
      </w:r>
      <w:r w:rsidRPr="00EB63CB">
        <w:t xml:space="preserve"> en 2010 et de194</w:t>
      </w:r>
      <w:r w:rsidR="00AC2B20">
        <w:t>,</w:t>
      </w:r>
      <w:r w:rsidR="00AC2B20" w:rsidRPr="00EB63CB">
        <w:t xml:space="preserve"> 6Mds</w:t>
      </w:r>
      <w:r w:rsidRPr="00EB63CB">
        <w:t xml:space="preserve"> de </w:t>
      </w:r>
      <w:r>
        <w:t>Dinars</w:t>
      </w:r>
      <w:r w:rsidRPr="00EB63CB">
        <w:t xml:space="preserve"> en 2011. Sur le montant des rachats opérés en 2009, les banques publiques ont comptabilisé une partie à fin 2009 (54,5 </w:t>
      </w:r>
      <w:r>
        <w:t>Mds</w:t>
      </w:r>
      <w:r w:rsidRPr="00EB63CB">
        <w:t xml:space="preserve"> de </w:t>
      </w:r>
      <w:r>
        <w:t>Dinars</w:t>
      </w:r>
      <w:r w:rsidRPr="00EB63CB">
        <w:t xml:space="preserve">) et le complément (17,5 </w:t>
      </w:r>
      <w:r>
        <w:t>Mds</w:t>
      </w:r>
      <w:r w:rsidRPr="00EB63CB">
        <w:t xml:space="preserve"> de </w:t>
      </w:r>
      <w:r>
        <w:t>Dinars</w:t>
      </w:r>
      <w:r w:rsidRPr="00EB63CB">
        <w:t xml:space="preserve">)  en 2010. L’encours des rachats des créances non performantes par le trésor s’élève à 546,1 </w:t>
      </w:r>
      <w:r>
        <w:t>Mds</w:t>
      </w:r>
      <w:r w:rsidRPr="00EB63CB">
        <w:t xml:space="preserve"> de </w:t>
      </w:r>
      <w:r>
        <w:t>Dinars</w:t>
      </w:r>
      <w:r w:rsidRPr="00EB63CB">
        <w:t xml:space="preserve"> à la fin 2011. Par ailleurs, en 2008 et 2009, les fonds propres des banques publiques ont été renforcés pour un montant total de 42 </w:t>
      </w:r>
      <w:r>
        <w:t>Mds</w:t>
      </w:r>
      <w:r w:rsidRPr="00EB63CB">
        <w:t xml:space="preserve"> de </w:t>
      </w:r>
      <w:r>
        <w:t>Dinars</w:t>
      </w:r>
      <w:r w:rsidRPr="00EB63CB">
        <w:t xml:space="preserve"> intégrés au capital de celles-ci.</w:t>
      </w:r>
    </w:p>
    <w:p w:rsidR="00EC2073" w:rsidRPr="00EB63CB" w:rsidRDefault="00977420" w:rsidP="00373938">
      <w:pPr>
        <w:pStyle w:val="Titre3"/>
        <w:numPr>
          <w:ilvl w:val="0"/>
          <w:numId w:val="0"/>
        </w:numPr>
        <w:ind w:left="720"/>
      </w:pPr>
      <w:bookmarkStart w:id="116" w:name="_Toc431980048"/>
      <w:r>
        <w:t xml:space="preserve">3.2 </w:t>
      </w:r>
      <w:r w:rsidR="00373938">
        <w:t xml:space="preserve"> </w:t>
      </w:r>
      <w:r w:rsidR="00EC2073" w:rsidRPr="00EB63CB">
        <w:t>La recapitalisation du système bancaire</w:t>
      </w:r>
      <w:bookmarkEnd w:id="116"/>
    </w:p>
    <w:p w:rsidR="00EC2073" w:rsidRPr="00EB63CB" w:rsidRDefault="00EC2073" w:rsidP="00677822">
      <w:r w:rsidRPr="00EB63CB">
        <w:t xml:space="preserve">La recapitalisation consiste à injecter des fonds dans le but d’augmenter le niveau du capital social des banques. En Algérie, le Conseil algérien de la Monnaie et du Crédit (CMC), organe dépendant de la </w:t>
      </w:r>
      <w:r>
        <w:t>Banque d’Algérie</w:t>
      </w:r>
      <w:r w:rsidRPr="00EB63CB">
        <w:t xml:space="preserve">, a décidé d’augmenter le montant du capital minimum requis </w:t>
      </w:r>
      <w:r>
        <w:t>pour les</w:t>
      </w:r>
      <w:r w:rsidRPr="00EB63CB">
        <w:t xml:space="preserve"> banques et</w:t>
      </w:r>
      <w:r>
        <w:t xml:space="preserve"> les</w:t>
      </w:r>
      <w:r w:rsidRPr="00EB63CB">
        <w:t xml:space="preserve"> établissement</w:t>
      </w:r>
      <w:r>
        <w:t>s</w:t>
      </w:r>
      <w:r w:rsidRPr="00EB63CB">
        <w:t xml:space="preserve"> financiers selon le règlement n° 08</w:t>
      </w:r>
      <w:r>
        <w:t>/</w:t>
      </w:r>
      <w:r w:rsidRPr="00EB63CB">
        <w:t xml:space="preserve">04 de </w:t>
      </w:r>
      <w:r>
        <w:t>D</w:t>
      </w:r>
      <w:r w:rsidRPr="00EB63CB">
        <w:t>écembre 2008. Le capital mini</w:t>
      </w:r>
      <w:r>
        <w:t>m</w:t>
      </w:r>
      <w:r w:rsidRPr="00EB63CB">
        <w:t>um et succursale de</w:t>
      </w:r>
      <w:r>
        <w:t>s</w:t>
      </w:r>
      <w:r w:rsidRPr="00EB63CB">
        <w:t xml:space="preserve"> banques passé de </w:t>
      </w:r>
      <w:r>
        <w:t>2,5 Mds</w:t>
      </w:r>
      <w:r w:rsidRPr="00EB63CB">
        <w:t xml:space="preserve"> à 10 </w:t>
      </w:r>
      <w:r>
        <w:t>Mds</w:t>
      </w:r>
      <w:r w:rsidRPr="00EB63CB">
        <w:t xml:space="preserve"> de </w:t>
      </w:r>
      <w:r>
        <w:t>Dinars</w:t>
      </w:r>
      <w:r w:rsidRPr="00EB63CB">
        <w:t xml:space="preserve"> (100 millions d’euros) tandis que le capital minimum des établissements financiers et des succursales est porté de 500 millions à 3,5 Mds de </w:t>
      </w:r>
      <w:r>
        <w:t>Dinars</w:t>
      </w:r>
      <w:r w:rsidRPr="00EB63CB">
        <w:t>.</w:t>
      </w:r>
    </w:p>
    <w:p w:rsidR="00EC2073" w:rsidRPr="00EB63CB" w:rsidRDefault="00EC2073" w:rsidP="00677822">
      <w:r w:rsidRPr="00EB63CB">
        <w:t>Les banques, les établissements financiers et les succursales de banques en activité disposaient d’un délai d’une année pour se mettre en conformité avec les nouvelles règles.</w:t>
      </w:r>
    </w:p>
    <w:p w:rsidR="00EC2073" w:rsidRPr="00EB63CB" w:rsidRDefault="00EC2073" w:rsidP="00677822">
      <w:r w:rsidRPr="00EB63CB">
        <w:t>Selon le CMC</w:t>
      </w:r>
      <w:r>
        <w:t xml:space="preserve">, </w:t>
      </w:r>
      <w:r w:rsidRPr="00EB63CB">
        <w:t>cette augmentation d</w:t>
      </w:r>
      <w:r>
        <w:t>e</w:t>
      </w:r>
      <w:r w:rsidRPr="00EB63CB">
        <w:t xml:space="preserve"> capital minimum des banques et établissements financiers visait à renforcer davantage leur solidité financière, ainsi que la stabilité du système bancaire en contribuait également à la protection des déposants</w:t>
      </w:r>
      <w:r w:rsidRPr="00EB63CB">
        <w:rPr>
          <w:vertAlign w:val="superscript"/>
        </w:rPr>
        <w:footnoteReference w:id="53"/>
      </w:r>
      <w:r w:rsidRPr="00EB63CB">
        <w:t>.</w:t>
      </w:r>
    </w:p>
    <w:p w:rsidR="00EC2073" w:rsidRPr="00EB63CB" w:rsidRDefault="00EC2073" w:rsidP="00677822">
      <w:r w:rsidRPr="00EB63CB">
        <w:t>Cette opération de recapitalisation a augmenté le niveau de la liquidité bancaire, ce qui  contribue à la persistance de la situation de surliquidité.</w:t>
      </w:r>
    </w:p>
    <w:p w:rsidR="00EC2073" w:rsidRPr="00EB63CB" w:rsidRDefault="00EC2073" w:rsidP="00677822">
      <w:pPr>
        <w:pStyle w:val="Titre1"/>
      </w:pPr>
      <w:bookmarkStart w:id="117" w:name="_Toc431980049"/>
      <w:r w:rsidRPr="00EB63CB">
        <w:lastRenderedPageBreak/>
        <w:t>Section 02 : Les mesures de gestion de la surliquidité bancaire en Algérie</w:t>
      </w:r>
      <w:bookmarkEnd w:id="117"/>
    </w:p>
    <w:p w:rsidR="00EC2073" w:rsidRPr="00EB63CB" w:rsidRDefault="00EC2073" w:rsidP="00EC2073">
      <w:pPr>
        <w:spacing w:after="0"/>
        <w:ind w:firstLine="708"/>
        <w:rPr>
          <w:rFonts w:cs="Times New Roman"/>
          <w:szCs w:val="24"/>
        </w:rPr>
      </w:pPr>
      <w:r w:rsidRPr="00EB63CB">
        <w:rPr>
          <w:rFonts w:cs="Times New Roman"/>
          <w:szCs w:val="24"/>
        </w:rPr>
        <w:t xml:space="preserve">L’efficacité des instruments indirects de la politique monétaire dans la résorption de l’excès de liquidité sur le marché monétaire et la bonne tenue corrélative de l’inflation ont amené le Conseil de la </w:t>
      </w:r>
      <w:r>
        <w:rPr>
          <w:rFonts w:cs="Times New Roman"/>
          <w:szCs w:val="24"/>
        </w:rPr>
        <w:t>M</w:t>
      </w:r>
      <w:r w:rsidRPr="00EB63CB">
        <w:rPr>
          <w:rFonts w:cs="Times New Roman"/>
          <w:szCs w:val="24"/>
        </w:rPr>
        <w:t xml:space="preserve">onnaie et du </w:t>
      </w:r>
      <w:r>
        <w:rPr>
          <w:rFonts w:cs="Times New Roman"/>
          <w:szCs w:val="24"/>
        </w:rPr>
        <w:t>C</w:t>
      </w:r>
      <w:r w:rsidRPr="00EB63CB">
        <w:rPr>
          <w:rFonts w:cs="Times New Roman"/>
          <w:szCs w:val="24"/>
        </w:rPr>
        <w:t xml:space="preserve">rédit et la </w:t>
      </w:r>
      <w:r>
        <w:rPr>
          <w:rFonts w:cs="Times New Roman"/>
          <w:szCs w:val="24"/>
        </w:rPr>
        <w:t>Banque d’Algérie</w:t>
      </w:r>
      <w:r w:rsidRPr="00EB63CB">
        <w:rPr>
          <w:rFonts w:cs="Times New Roman"/>
          <w:szCs w:val="24"/>
        </w:rPr>
        <w:t xml:space="preserve"> à renforcer en 2009 le cadre réglementaire portant </w:t>
      </w:r>
      <w:r>
        <w:rPr>
          <w:rFonts w:cs="Times New Roman"/>
          <w:szCs w:val="24"/>
        </w:rPr>
        <w:t xml:space="preserve">les </w:t>
      </w:r>
      <w:r w:rsidRPr="00EB63CB">
        <w:rPr>
          <w:rFonts w:cs="Times New Roman"/>
          <w:szCs w:val="24"/>
        </w:rPr>
        <w:t>instruments de conduite de la politique monétaire.</w:t>
      </w:r>
    </w:p>
    <w:p w:rsidR="00EC2073" w:rsidRPr="00977420" w:rsidRDefault="00977420" w:rsidP="00977420">
      <w:pPr>
        <w:ind w:left="360" w:firstLine="0"/>
        <w:rPr>
          <w:rFonts w:cs="Times New Roman"/>
          <w:b/>
          <w:bCs/>
          <w:szCs w:val="24"/>
        </w:rPr>
      </w:pPr>
      <w:r>
        <w:rPr>
          <w:rFonts w:cs="Times New Roman"/>
          <w:b/>
          <w:bCs/>
          <w:szCs w:val="24"/>
        </w:rPr>
        <w:t xml:space="preserve">1. </w:t>
      </w:r>
      <w:r w:rsidR="00EC2073" w:rsidRPr="00977420">
        <w:rPr>
          <w:rFonts w:cs="Times New Roman"/>
          <w:b/>
          <w:bCs/>
          <w:szCs w:val="24"/>
        </w:rPr>
        <w:t xml:space="preserve">La conduite de la politique monétaire : </w:t>
      </w:r>
    </w:p>
    <w:p w:rsidR="00EC2073" w:rsidRPr="006C56F3" w:rsidRDefault="00977420" w:rsidP="00CA6CC3">
      <w:pPr>
        <w:ind w:left="360" w:firstLine="0"/>
        <w:rPr>
          <w:rFonts w:cs="Times New Roman"/>
          <w:b/>
          <w:bCs/>
          <w:szCs w:val="24"/>
        </w:rPr>
      </w:pPr>
      <w:r>
        <w:rPr>
          <w:rFonts w:cs="Times New Roman"/>
          <w:b/>
          <w:bCs/>
          <w:szCs w:val="24"/>
        </w:rPr>
        <w:t xml:space="preserve">1.1 </w:t>
      </w:r>
      <w:r w:rsidR="00CA6CC3">
        <w:rPr>
          <w:rFonts w:cs="Times New Roman"/>
          <w:b/>
          <w:bCs/>
          <w:szCs w:val="24"/>
        </w:rPr>
        <w:t xml:space="preserve"> </w:t>
      </w:r>
      <w:r w:rsidR="00EC2073" w:rsidRPr="006C56F3">
        <w:rPr>
          <w:rFonts w:cs="Times New Roman"/>
          <w:b/>
          <w:bCs/>
          <w:szCs w:val="24"/>
        </w:rPr>
        <w:t xml:space="preserve">Les réserves obligatoires : </w:t>
      </w:r>
    </w:p>
    <w:p w:rsidR="00EC2073" w:rsidRPr="00EB63CB" w:rsidRDefault="00EC2073" w:rsidP="005E6EED">
      <w:pPr>
        <w:ind w:firstLine="708"/>
        <w:rPr>
          <w:rFonts w:cs="Times New Roman"/>
          <w:szCs w:val="24"/>
        </w:rPr>
      </w:pPr>
      <w:r w:rsidRPr="00EB63CB">
        <w:rPr>
          <w:rFonts w:cs="Times New Roman"/>
          <w:szCs w:val="24"/>
        </w:rPr>
        <w:t xml:space="preserve">Les réserves obligatoires restent l’instrument principal </w:t>
      </w:r>
      <w:r>
        <w:rPr>
          <w:rFonts w:cs="Times New Roman"/>
          <w:szCs w:val="24"/>
        </w:rPr>
        <w:t xml:space="preserve">dont dispose </w:t>
      </w:r>
      <w:r w:rsidRPr="00EB63CB">
        <w:rPr>
          <w:rFonts w:cs="Times New Roman"/>
          <w:szCs w:val="24"/>
        </w:rPr>
        <w:t xml:space="preserve">la </w:t>
      </w:r>
      <w:r>
        <w:rPr>
          <w:rFonts w:cs="Times New Roman"/>
          <w:szCs w:val="24"/>
        </w:rPr>
        <w:t>Banque d’Algérie</w:t>
      </w:r>
      <w:r w:rsidRPr="00EB63CB">
        <w:rPr>
          <w:rFonts w:cs="Times New Roman"/>
          <w:szCs w:val="24"/>
        </w:rPr>
        <w:t xml:space="preserve">. </w:t>
      </w:r>
    </w:p>
    <w:p w:rsidR="00EC2073" w:rsidRPr="00EB63CB" w:rsidRDefault="00EC2073" w:rsidP="00C0075C">
      <w:pPr>
        <w:ind w:firstLine="708"/>
        <w:rPr>
          <w:rFonts w:cs="Times New Roman"/>
          <w:szCs w:val="24"/>
        </w:rPr>
      </w:pPr>
      <w:r w:rsidRPr="00EB63CB">
        <w:rPr>
          <w:rFonts w:cs="Times New Roman"/>
          <w:szCs w:val="24"/>
        </w:rPr>
        <w:t xml:space="preserve">Les réserves minimales obligatoires sont un instrument institutionnel particulier de politique monétaire qui ne se traduit pas par des interventions de la </w:t>
      </w:r>
      <w:r>
        <w:rPr>
          <w:rFonts w:cs="Times New Roman"/>
          <w:szCs w:val="24"/>
        </w:rPr>
        <w:t>Banque d’Algérie</w:t>
      </w:r>
      <w:r w:rsidRPr="00EB63CB">
        <w:rPr>
          <w:rFonts w:cs="Times New Roman"/>
          <w:szCs w:val="24"/>
        </w:rPr>
        <w:t xml:space="preserve">, mais par une obligation de constitution de dépôts par les banques auprès de </w:t>
      </w:r>
      <w:r>
        <w:rPr>
          <w:rFonts w:cs="Times New Roman"/>
          <w:szCs w:val="24"/>
        </w:rPr>
        <w:t>celle-ci</w:t>
      </w:r>
      <w:r w:rsidRPr="00EB63CB">
        <w:rPr>
          <w:rFonts w:cs="Times New Roman"/>
          <w:szCs w:val="24"/>
        </w:rPr>
        <w:t xml:space="preserve"> pour couvrir en moyenne mensuelle (période allant du 15 du mois en cours au 14 du mois suivant) le niveau des réserves obligatoires réglementaires. Aussi, le règlement n° 04</w:t>
      </w:r>
      <w:r>
        <w:rPr>
          <w:rFonts w:cs="Times New Roman"/>
          <w:szCs w:val="24"/>
        </w:rPr>
        <w:t>/</w:t>
      </w:r>
      <w:r w:rsidRPr="00EB63CB">
        <w:rPr>
          <w:rFonts w:cs="Times New Roman"/>
          <w:szCs w:val="24"/>
        </w:rPr>
        <w:t xml:space="preserve">02 du 4 </w:t>
      </w:r>
      <w:r>
        <w:rPr>
          <w:rFonts w:cs="Times New Roman"/>
          <w:szCs w:val="24"/>
        </w:rPr>
        <w:t>M</w:t>
      </w:r>
      <w:r w:rsidRPr="00EB63CB">
        <w:rPr>
          <w:rFonts w:cs="Times New Roman"/>
          <w:szCs w:val="24"/>
        </w:rPr>
        <w:t xml:space="preserve">ars 2004 fixant les conditions de constitution des réserves minimales obligatoires indique les principes généraux , à savoir, les institutions astreintes </w:t>
      </w:r>
      <w:r>
        <w:rPr>
          <w:rFonts w:cs="Times New Roman"/>
          <w:szCs w:val="24"/>
        </w:rPr>
        <w:t>à</w:t>
      </w:r>
      <w:r w:rsidRPr="00EB63CB">
        <w:rPr>
          <w:rFonts w:cs="Times New Roman"/>
          <w:szCs w:val="24"/>
        </w:rPr>
        <w:t xml:space="preserve"> la constitution des réserves obligatoires que sont les banques, le taux maximum et l’assiette de constitution représentée par les dépôts en </w:t>
      </w:r>
      <w:r>
        <w:rPr>
          <w:rFonts w:cs="Times New Roman"/>
          <w:szCs w:val="24"/>
        </w:rPr>
        <w:t>Dinars</w:t>
      </w:r>
      <w:r w:rsidRPr="00EB63CB">
        <w:rPr>
          <w:rFonts w:cs="Times New Roman"/>
          <w:szCs w:val="24"/>
        </w:rPr>
        <w:t xml:space="preserve">, la période de constitution et la rémunération y afférente ainsi que la pénalité applicable en cas de non constitution ou constitution insuffisante des réserves obligatoires réglementaires. En outre, l’article 18 du même règlement indique que dans le cadre des principes édictés, la </w:t>
      </w:r>
      <w:r>
        <w:rPr>
          <w:rFonts w:cs="Times New Roman"/>
          <w:szCs w:val="24"/>
        </w:rPr>
        <w:t>Banque d’Algérie</w:t>
      </w:r>
      <w:r w:rsidRPr="00EB63CB">
        <w:rPr>
          <w:rFonts w:cs="Times New Roman"/>
          <w:szCs w:val="24"/>
        </w:rPr>
        <w:t xml:space="preserve"> fixe par instruction en </w:t>
      </w:r>
      <w:r w:rsidR="00C0075C">
        <w:rPr>
          <w:rFonts w:cs="Times New Roman"/>
          <w:szCs w:val="24"/>
        </w:rPr>
        <w:t>cas</w:t>
      </w:r>
      <w:r w:rsidRPr="00EB63CB">
        <w:rPr>
          <w:rFonts w:cs="Times New Roman"/>
          <w:szCs w:val="24"/>
        </w:rPr>
        <w:t xml:space="preserve"> de besoin, les conditions effectives de constitution des réserves obligatoires. Ce dernier a constitué un élément actif tout au long de ces dernières </w:t>
      </w:r>
      <w:r w:rsidRPr="00E07E46">
        <w:rPr>
          <w:rFonts w:cs="Times New Roman"/>
          <w:szCs w:val="24"/>
        </w:rPr>
        <w:t>décennies</w:t>
      </w:r>
      <w:r w:rsidRPr="00EB63CB">
        <w:rPr>
          <w:rFonts w:cs="Times New Roman"/>
          <w:szCs w:val="24"/>
        </w:rPr>
        <w:t xml:space="preserve">, pour cela la </w:t>
      </w:r>
      <w:r>
        <w:rPr>
          <w:rFonts w:cs="Times New Roman"/>
          <w:szCs w:val="24"/>
        </w:rPr>
        <w:t>Banque d’Algérie</w:t>
      </w:r>
      <w:r w:rsidR="00EA4091">
        <w:rPr>
          <w:rFonts w:cs="Times New Roman"/>
          <w:szCs w:val="24"/>
        </w:rPr>
        <w:t xml:space="preserve"> </w:t>
      </w:r>
      <w:r>
        <w:rPr>
          <w:rFonts w:cs="Times New Roman"/>
          <w:szCs w:val="24"/>
        </w:rPr>
        <w:t>a</w:t>
      </w:r>
      <w:r w:rsidRPr="00EB63CB">
        <w:rPr>
          <w:rFonts w:cs="Times New Roman"/>
          <w:szCs w:val="24"/>
        </w:rPr>
        <w:t xml:space="preserve"> augment</w:t>
      </w:r>
      <w:r>
        <w:rPr>
          <w:rFonts w:cs="Times New Roman"/>
          <w:szCs w:val="24"/>
        </w:rPr>
        <w:t>é</w:t>
      </w:r>
      <w:r w:rsidRPr="00EB63CB">
        <w:rPr>
          <w:rFonts w:cs="Times New Roman"/>
          <w:szCs w:val="24"/>
        </w:rPr>
        <w:t xml:space="preserve"> le taux des réserves obligatoires des banques pour lutter contre la surliquidité</w:t>
      </w:r>
      <w:r w:rsidRPr="00EB63CB">
        <w:rPr>
          <w:rStyle w:val="Appelnotedebasdep"/>
          <w:rFonts w:cs="Times New Roman"/>
          <w:szCs w:val="24"/>
        </w:rPr>
        <w:footnoteReference w:id="54"/>
      </w:r>
      <w:r w:rsidR="00EA4091">
        <w:rPr>
          <w:rFonts w:cs="Times New Roman"/>
          <w:szCs w:val="24"/>
        </w:rPr>
        <w:t>.</w:t>
      </w:r>
    </w:p>
    <w:p w:rsidR="00EC2073" w:rsidRPr="00EB63CB" w:rsidRDefault="00EC2073" w:rsidP="00EC2073">
      <w:pPr>
        <w:ind w:firstLine="708"/>
        <w:rPr>
          <w:rFonts w:cs="Times New Roman"/>
          <w:szCs w:val="24"/>
        </w:rPr>
      </w:pPr>
      <w:r w:rsidRPr="00EB63CB">
        <w:rPr>
          <w:rFonts w:cs="Times New Roman"/>
          <w:szCs w:val="24"/>
        </w:rPr>
        <w:t xml:space="preserve">Une nouvelle instruction du gouverneur de la </w:t>
      </w:r>
      <w:r>
        <w:rPr>
          <w:rFonts w:cs="Times New Roman"/>
          <w:szCs w:val="24"/>
        </w:rPr>
        <w:t>Banque d’Algérie</w:t>
      </w:r>
      <w:r w:rsidRPr="00EB63CB">
        <w:rPr>
          <w:rFonts w:cs="Times New Roman"/>
          <w:szCs w:val="24"/>
        </w:rPr>
        <w:t>, datant du 23 avril 2013, modifiant et complétant l’instruction du 13 mars 2004 relative aux régimes des réserves obligatoires, porte le taux de ces réserves à 12% de l’assiette globale des réserves bancaires.</w:t>
      </w:r>
    </w:p>
    <w:p w:rsidR="00EC2073" w:rsidRPr="00EB63CB" w:rsidRDefault="00EC2073" w:rsidP="00C0075C">
      <w:pPr>
        <w:ind w:firstLine="708"/>
        <w:rPr>
          <w:rFonts w:cs="Times New Roman"/>
          <w:szCs w:val="24"/>
        </w:rPr>
      </w:pPr>
      <w:r w:rsidRPr="00EB63CB">
        <w:rPr>
          <w:rFonts w:cs="Times New Roman"/>
          <w:szCs w:val="24"/>
        </w:rPr>
        <w:lastRenderedPageBreak/>
        <w:t>Ce taux a déjà été relevé à 11% en 2012 contre 6,5% depuis 2004. L’augmentation du ratio des réserves obligatoires vise essentiellement l’absorpt</w:t>
      </w:r>
      <w:r w:rsidR="00C0075C">
        <w:rPr>
          <w:rFonts w:cs="Times New Roman"/>
          <w:szCs w:val="24"/>
        </w:rPr>
        <w:t>ion de la surliquidité bancaire,</w:t>
      </w:r>
      <w:r w:rsidRPr="00EB63CB">
        <w:rPr>
          <w:rFonts w:cs="Times New Roman"/>
          <w:szCs w:val="24"/>
        </w:rPr>
        <w:t xml:space="preserve"> </w:t>
      </w:r>
      <w:r w:rsidR="00C0075C">
        <w:rPr>
          <w:rFonts w:cs="Times New Roman"/>
          <w:szCs w:val="24"/>
        </w:rPr>
        <w:t>qui</w:t>
      </w:r>
      <w:r w:rsidR="007B155A">
        <w:rPr>
          <w:rFonts w:cs="Times New Roman"/>
          <w:szCs w:val="24"/>
        </w:rPr>
        <w:t xml:space="preserve"> dépasse</w:t>
      </w:r>
      <w:r w:rsidRPr="00EB63CB">
        <w:rPr>
          <w:rFonts w:cs="Times New Roman"/>
          <w:szCs w:val="24"/>
        </w:rPr>
        <w:t xml:space="preserve"> les 13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en 2011.</w:t>
      </w:r>
    </w:p>
    <w:p w:rsidR="00EC2073" w:rsidRPr="00EB63CB" w:rsidRDefault="00977420" w:rsidP="006C56F3">
      <w:pPr>
        <w:ind w:firstLine="0"/>
        <w:rPr>
          <w:rFonts w:cs="Times New Roman"/>
          <w:b/>
          <w:bCs/>
          <w:szCs w:val="24"/>
        </w:rPr>
      </w:pPr>
      <w:r>
        <w:rPr>
          <w:rFonts w:cs="Times New Roman"/>
          <w:b/>
          <w:bCs/>
          <w:szCs w:val="24"/>
        </w:rPr>
        <w:t xml:space="preserve">1.2 </w:t>
      </w:r>
      <w:r w:rsidR="00CA6CC3">
        <w:rPr>
          <w:rFonts w:cs="Times New Roman"/>
          <w:b/>
          <w:bCs/>
          <w:szCs w:val="24"/>
        </w:rPr>
        <w:t xml:space="preserve"> </w:t>
      </w:r>
      <w:r w:rsidR="00EC2073" w:rsidRPr="00EB63CB">
        <w:rPr>
          <w:rFonts w:cs="Times New Roman"/>
          <w:b/>
          <w:bCs/>
          <w:szCs w:val="24"/>
        </w:rPr>
        <w:t>La reprise de liquidité</w:t>
      </w:r>
    </w:p>
    <w:p w:rsidR="00EC2073" w:rsidRPr="00EB63CB" w:rsidRDefault="00EC2073" w:rsidP="00CA15FD">
      <w:pPr>
        <w:ind w:firstLine="708"/>
        <w:rPr>
          <w:rFonts w:cs="Times New Roman"/>
          <w:szCs w:val="24"/>
        </w:rPr>
      </w:pPr>
      <w:r w:rsidRPr="00EB63CB">
        <w:rPr>
          <w:rFonts w:cs="Times New Roman"/>
          <w:szCs w:val="24"/>
        </w:rPr>
        <w:t>Le contexte de l’excès de liquidité en 2002 a fait que la politique monétaire s’est exercée surtout au moyen d’un nouvel instrument indirect de politique monétaire, qui est la reprise de liquidité par appel d’offre (instruction n° 02</w:t>
      </w:r>
      <w:r>
        <w:rPr>
          <w:rFonts w:cs="Times New Roman"/>
          <w:szCs w:val="24"/>
        </w:rPr>
        <w:t>/</w:t>
      </w:r>
      <w:r w:rsidRPr="00EB63CB">
        <w:rPr>
          <w:rFonts w:cs="Times New Roman"/>
          <w:szCs w:val="24"/>
        </w:rPr>
        <w:t xml:space="preserve">2002 du 11 </w:t>
      </w:r>
      <w:r>
        <w:rPr>
          <w:rFonts w:cs="Times New Roman"/>
          <w:szCs w:val="24"/>
        </w:rPr>
        <w:t>A</w:t>
      </w:r>
      <w:r w:rsidRPr="00EB63CB">
        <w:rPr>
          <w:rFonts w:cs="Times New Roman"/>
          <w:szCs w:val="24"/>
        </w:rPr>
        <w:t xml:space="preserve">vril 2002) et ce, pour rendre plus efficace le contrôle des agrégats </w:t>
      </w:r>
      <w:r w:rsidR="00AC2B20" w:rsidRPr="00EB63CB">
        <w:rPr>
          <w:rFonts w:cs="Times New Roman"/>
          <w:szCs w:val="24"/>
        </w:rPr>
        <w:t>monétaires et</w:t>
      </w:r>
      <w:r w:rsidRPr="00EB63CB">
        <w:rPr>
          <w:rFonts w:cs="Times New Roman"/>
          <w:szCs w:val="24"/>
        </w:rPr>
        <w:t xml:space="preserve"> pour absorber l’excès de liquidité devenu même structurel, à savoir : les reprises de liquidité a sept jour, les reprises à 03 mois introduites en </w:t>
      </w:r>
      <w:r>
        <w:rPr>
          <w:rFonts w:cs="Times New Roman"/>
          <w:szCs w:val="24"/>
        </w:rPr>
        <w:t>Août</w:t>
      </w:r>
      <w:r w:rsidRPr="00EB63CB">
        <w:rPr>
          <w:rFonts w:cs="Times New Roman"/>
          <w:szCs w:val="24"/>
        </w:rPr>
        <w:t xml:space="preserve"> 2005. L’année 2013 a été marquée par l’introduction des reprises à 06 mois dès </w:t>
      </w:r>
      <w:r>
        <w:rPr>
          <w:rFonts w:cs="Times New Roman"/>
          <w:szCs w:val="24"/>
        </w:rPr>
        <w:t>J</w:t>
      </w:r>
      <w:r w:rsidRPr="00EB63CB">
        <w:rPr>
          <w:rFonts w:cs="Times New Roman"/>
          <w:szCs w:val="24"/>
        </w:rPr>
        <w:t xml:space="preserve">anvier. Les interventions de la </w:t>
      </w:r>
      <w:r>
        <w:rPr>
          <w:rFonts w:cs="Times New Roman"/>
          <w:szCs w:val="24"/>
        </w:rPr>
        <w:t>Banque d’Algérie</w:t>
      </w:r>
      <w:r w:rsidRPr="00EB63CB">
        <w:rPr>
          <w:rFonts w:cs="Times New Roman"/>
          <w:szCs w:val="24"/>
        </w:rPr>
        <w:t xml:space="preserve"> sur le marché monétaire (reprise de liquidité à 7 jours, à 3 mois et à 6 mois) connaissent des ajustements aussi bien sous l’angle, des flux et encours par type d’instrument, qu’en ce qui concerne les taux d’intérêt appliquées en la matière. </w:t>
      </w:r>
    </w:p>
    <w:p w:rsidR="00EC2073" w:rsidRDefault="00EC2073" w:rsidP="002D0857">
      <w:pPr>
        <w:rPr>
          <w:rFonts w:cs="Times New Roman"/>
          <w:szCs w:val="24"/>
        </w:rPr>
      </w:pPr>
      <w:r w:rsidRPr="00EB63CB">
        <w:rPr>
          <w:rFonts w:cs="Times New Roman"/>
          <w:szCs w:val="24"/>
        </w:rPr>
        <w:t>Durant le mois d’</w:t>
      </w:r>
      <w:r>
        <w:rPr>
          <w:rFonts w:cs="Times New Roman"/>
          <w:szCs w:val="24"/>
        </w:rPr>
        <w:t>A</w:t>
      </w:r>
      <w:r w:rsidRPr="00EB63CB">
        <w:rPr>
          <w:rFonts w:cs="Times New Roman"/>
          <w:szCs w:val="24"/>
        </w:rPr>
        <w:t xml:space="preserve">vril 2014, la </w:t>
      </w:r>
      <w:r>
        <w:rPr>
          <w:rFonts w:cs="Times New Roman"/>
          <w:szCs w:val="24"/>
        </w:rPr>
        <w:t>Banque d’Algérie</w:t>
      </w:r>
      <w:r w:rsidRPr="00EB63CB">
        <w:rPr>
          <w:rFonts w:cs="Times New Roman"/>
          <w:szCs w:val="24"/>
        </w:rPr>
        <w:t xml:space="preserve"> est intervenu sur le marché monétaire en poursuivant son action </w:t>
      </w:r>
      <w:r>
        <w:rPr>
          <w:rFonts w:cs="Times New Roman"/>
          <w:szCs w:val="24"/>
        </w:rPr>
        <w:t>d</w:t>
      </w:r>
      <w:r w:rsidRPr="00EB63CB">
        <w:rPr>
          <w:rFonts w:cs="Times New Roman"/>
          <w:szCs w:val="24"/>
        </w:rPr>
        <w:t xml:space="preserve">’absorption de l’excès de liquidité par appel d’offres à 1 350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r</w:t>
      </w:r>
      <w:r>
        <w:rPr>
          <w:rFonts w:cs="Times New Roman"/>
          <w:szCs w:val="24"/>
        </w:rPr>
        <w:t>é</w:t>
      </w:r>
      <w:r w:rsidRPr="00EB63CB">
        <w:rPr>
          <w:rFonts w:cs="Times New Roman"/>
          <w:szCs w:val="24"/>
        </w:rPr>
        <w:t xml:space="preserve">partis à hauteur de 900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pour la reprise à 7 jours, 275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3 mois et 175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6 mois</w:t>
      </w:r>
      <w:r w:rsidRPr="00EB63CB">
        <w:rPr>
          <w:rStyle w:val="Appelnotedebasdep"/>
          <w:rFonts w:cs="Times New Roman"/>
          <w:szCs w:val="24"/>
        </w:rPr>
        <w:footnoteReference w:id="55"/>
      </w:r>
      <w:r w:rsidRPr="00EB63CB">
        <w:rPr>
          <w:rFonts w:cs="Times New Roman"/>
          <w:szCs w:val="24"/>
        </w:rPr>
        <w:t xml:space="preserve"> (Voir le tableau </w:t>
      </w:r>
      <w:r w:rsidR="002D0857">
        <w:rPr>
          <w:rFonts w:cs="Times New Roman"/>
          <w:szCs w:val="24"/>
        </w:rPr>
        <w:t>N°15</w:t>
      </w:r>
      <w:r w:rsidRPr="00EB63CB">
        <w:rPr>
          <w:rFonts w:cs="Times New Roman"/>
          <w:szCs w:val="24"/>
        </w:rPr>
        <w:t>)</w:t>
      </w:r>
      <w:r>
        <w:rPr>
          <w:rFonts w:cs="Times New Roman"/>
          <w:szCs w:val="24"/>
        </w:rPr>
        <w:t xml:space="preserve">. </w:t>
      </w:r>
    </w:p>
    <w:p w:rsidR="00F319DE" w:rsidRDefault="00703F39" w:rsidP="00BC0DD4">
      <w:pPr>
        <w:ind w:firstLine="0"/>
        <w:rPr>
          <w:rFonts w:cs="Times New Roman"/>
          <w:szCs w:val="24"/>
        </w:rPr>
      </w:pPr>
      <w:r>
        <w:rPr>
          <w:rFonts w:eastAsia="Calibri" w:cs="Times New Roman"/>
          <w:b/>
          <w:bCs/>
          <w:sz w:val="28"/>
          <w:szCs w:val="28"/>
          <w:lang w:eastAsia="en-US"/>
        </w:rPr>
        <w:t>Tableau N°14</w:t>
      </w:r>
      <w:r w:rsidR="00BC0DD4" w:rsidRPr="006D1C0B">
        <w:rPr>
          <w:rFonts w:eastAsia="Calibri" w:cs="Times New Roman"/>
          <w:b/>
          <w:bCs/>
          <w:sz w:val="28"/>
          <w:szCs w:val="28"/>
          <w:lang w:eastAsia="en-US"/>
        </w:rPr>
        <w:t xml:space="preserve"> : </w:t>
      </w:r>
      <w:r w:rsidR="00BC0DD4" w:rsidRPr="006D1C0B">
        <w:rPr>
          <w:rFonts w:cs="Times New Roman"/>
          <w:b/>
          <w:bCs/>
          <w:sz w:val="28"/>
          <w:szCs w:val="28"/>
        </w:rPr>
        <w:t>Reprise de</w:t>
      </w:r>
      <w:r w:rsidR="00EB369F">
        <w:rPr>
          <w:rFonts w:cs="Times New Roman"/>
          <w:b/>
          <w:bCs/>
          <w:sz w:val="28"/>
          <w:szCs w:val="28"/>
        </w:rPr>
        <w:t xml:space="preserve"> liquidité </w:t>
      </w:r>
    </w:p>
    <w:tbl>
      <w:tblPr>
        <w:tblpPr w:leftFromText="141" w:rightFromText="141" w:vertAnchor="text" w:horzAnchor="margin" w:tblpY="1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03"/>
        <w:gridCol w:w="2303"/>
        <w:gridCol w:w="2303"/>
        <w:gridCol w:w="2303"/>
      </w:tblGrid>
      <w:tr w:rsidR="00BC0DD4" w:rsidRPr="002D0857" w:rsidTr="00BC0DD4">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Nature</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31/03/2014</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30/0</w:t>
            </w:r>
            <w:r w:rsidR="00A96098">
              <w:rPr>
                <w:rFonts w:eastAsia="Calibri" w:cs="Times New Roman"/>
                <w:szCs w:val="24"/>
                <w:lang w:eastAsia="en-US"/>
              </w:rPr>
              <w:t>4</w:t>
            </w:r>
            <w:r w:rsidRPr="002D0857">
              <w:rPr>
                <w:rFonts w:eastAsia="Calibri" w:cs="Times New Roman"/>
                <w:szCs w:val="24"/>
                <w:lang w:eastAsia="en-US"/>
              </w:rPr>
              <w:t>/2014</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Pr>
                <w:rFonts w:eastAsia="Calibri" w:cs="Times New Roman"/>
                <w:szCs w:val="24"/>
                <w:lang w:eastAsia="en-US"/>
              </w:rPr>
              <w:t>V</w:t>
            </w:r>
            <w:r w:rsidRPr="002D0857">
              <w:rPr>
                <w:rFonts w:eastAsia="Calibri" w:cs="Times New Roman"/>
                <w:szCs w:val="24"/>
                <w:lang w:eastAsia="en-US"/>
              </w:rPr>
              <w:t>ariation</w:t>
            </w:r>
          </w:p>
        </w:tc>
      </w:tr>
      <w:tr w:rsidR="00BC0DD4" w:rsidRPr="002D0857" w:rsidTr="00BC0DD4">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Pension à 24h</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p>
        </w:tc>
      </w:tr>
      <w:tr w:rsidR="00BC0DD4" w:rsidRPr="002D0857" w:rsidTr="00BC0DD4">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Pension à 7 j</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p>
        </w:tc>
      </w:tr>
      <w:tr w:rsidR="00BC0DD4" w:rsidRPr="002D0857" w:rsidTr="00BC0DD4">
        <w:tc>
          <w:tcPr>
            <w:tcW w:w="2303" w:type="dxa"/>
          </w:tcPr>
          <w:p w:rsidR="00BC0DD4" w:rsidRPr="002D0857" w:rsidRDefault="00BC0DD4" w:rsidP="00BC0DD4">
            <w:pPr>
              <w:spacing w:before="0" w:after="0" w:line="240" w:lineRule="auto"/>
              <w:ind w:firstLine="0"/>
              <w:rPr>
                <w:rFonts w:eastAsia="Calibri" w:cs="Times New Roman"/>
                <w:szCs w:val="24"/>
                <w:lang w:eastAsia="en-US"/>
              </w:rPr>
            </w:pPr>
            <w:proofErr w:type="spellStart"/>
            <w:r w:rsidRPr="002D0857">
              <w:rPr>
                <w:rFonts w:eastAsia="Calibri" w:cs="Times New Roman"/>
                <w:szCs w:val="24"/>
                <w:lang w:eastAsia="en-US"/>
              </w:rPr>
              <w:t>Adj</w:t>
            </w:r>
            <w:proofErr w:type="spellEnd"/>
            <w:r w:rsidRPr="002D0857">
              <w:rPr>
                <w:rFonts w:eastAsia="Calibri" w:cs="Times New Roman"/>
                <w:szCs w:val="24"/>
                <w:lang w:eastAsia="en-US"/>
              </w:rPr>
              <w:t xml:space="preserve"> crédit (</w:t>
            </w:r>
            <w:proofErr w:type="spellStart"/>
            <w:r w:rsidRPr="002D0857">
              <w:rPr>
                <w:rFonts w:eastAsia="Calibri" w:cs="Times New Roman"/>
                <w:szCs w:val="24"/>
                <w:lang w:eastAsia="en-US"/>
              </w:rPr>
              <w:t>enc</w:t>
            </w:r>
            <w:proofErr w:type="spellEnd"/>
            <w:r w:rsidRPr="002D0857">
              <w:rPr>
                <w:rFonts w:eastAsia="Calibri" w:cs="Times New Roman"/>
                <w:szCs w:val="24"/>
                <w:lang w:eastAsia="en-US"/>
              </w:rPr>
              <w:t>)</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p>
        </w:tc>
      </w:tr>
      <w:tr w:rsidR="00BC0DD4" w:rsidRPr="002D0857" w:rsidTr="00BC0DD4">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 xml:space="preserve">Open </w:t>
            </w:r>
            <w:proofErr w:type="spellStart"/>
            <w:r w:rsidRPr="002D0857">
              <w:rPr>
                <w:rFonts w:eastAsia="Calibri" w:cs="Times New Roman"/>
                <w:szCs w:val="24"/>
                <w:lang w:eastAsia="en-US"/>
              </w:rPr>
              <w:t>market</w:t>
            </w:r>
            <w:proofErr w:type="spellEnd"/>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p>
        </w:tc>
      </w:tr>
      <w:tr w:rsidR="00BC0DD4" w:rsidRPr="002D0857" w:rsidTr="00BC0DD4">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Reprise de liquidité</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1 350 000, 00</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1 350 000, 00</w:t>
            </w:r>
          </w:p>
        </w:tc>
        <w:tc>
          <w:tcPr>
            <w:tcW w:w="2303" w:type="dxa"/>
          </w:tcPr>
          <w:p w:rsidR="00BC0DD4" w:rsidRPr="002D0857" w:rsidRDefault="00BC0DD4" w:rsidP="00BC0DD4">
            <w:pPr>
              <w:spacing w:before="0" w:after="0" w:line="240" w:lineRule="auto"/>
              <w:ind w:firstLine="0"/>
              <w:rPr>
                <w:rFonts w:eastAsia="Calibri" w:cs="Times New Roman"/>
                <w:szCs w:val="24"/>
                <w:lang w:eastAsia="en-US"/>
              </w:rPr>
            </w:pPr>
            <w:r w:rsidRPr="002D0857">
              <w:rPr>
                <w:rFonts w:eastAsia="Calibri" w:cs="Times New Roman"/>
                <w:szCs w:val="24"/>
                <w:lang w:eastAsia="en-US"/>
              </w:rPr>
              <w:t>0, 00</w:t>
            </w:r>
          </w:p>
        </w:tc>
      </w:tr>
    </w:tbl>
    <w:p w:rsidR="00F61B78" w:rsidRDefault="00A96098" w:rsidP="00A96098">
      <w:pPr>
        <w:ind w:firstLine="0"/>
        <w:jc w:val="right"/>
        <w:rPr>
          <w:rFonts w:cs="Times New Roman"/>
          <w:b/>
          <w:bCs/>
          <w:szCs w:val="24"/>
        </w:rPr>
      </w:pPr>
      <w:r w:rsidRPr="00A96098">
        <w:rPr>
          <w:rFonts w:eastAsia="Calibri" w:cs="Times New Roman"/>
          <w:sz w:val="20"/>
          <w:szCs w:val="20"/>
          <w:lang w:eastAsia="en-US"/>
        </w:rPr>
        <w:t>Source : Rapport de la Banque d’Algérie,</w:t>
      </w:r>
      <w:r>
        <w:rPr>
          <w:rFonts w:eastAsia="Calibri" w:cs="Times New Roman"/>
          <w:sz w:val="20"/>
          <w:szCs w:val="20"/>
          <w:lang w:eastAsia="en-US"/>
        </w:rPr>
        <w:t xml:space="preserve"> Situation mensuel du marché monétaire</w:t>
      </w:r>
      <w:r w:rsidRPr="00A96098">
        <w:rPr>
          <w:rFonts w:eastAsia="Calibri" w:cs="Times New Roman"/>
          <w:sz w:val="20"/>
          <w:szCs w:val="20"/>
          <w:lang w:eastAsia="en-US"/>
        </w:rPr>
        <w:t xml:space="preserve"> 2014</w:t>
      </w:r>
    </w:p>
    <w:p w:rsidR="00A96098" w:rsidRDefault="00A96098" w:rsidP="006D1C0B">
      <w:pPr>
        <w:ind w:firstLine="0"/>
        <w:rPr>
          <w:rFonts w:cs="Times New Roman"/>
          <w:b/>
          <w:bCs/>
          <w:szCs w:val="24"/>
        </w:rPr>
      </w:pPr>
    </w:p>
    <w:p w:rsidR="00A96098" w:rsidRDefault="00A96098" w:rsidP="006D1C0B">
      <w:pPr>
        <w:ind w:firstLine="0"/>
        <w:rPr>
          <w:rFonts w:cs="Times New Roman"/>
          <w:b/>
          <w:bCs/>
          <w:szCs w:val="24"/>
        </w:rPr>
      </w:pPr>
    </w:p>
    <w:p w:rsidR="00A96098" w:rsidRDefault="00A96098" w:rsidP="006D1C0B">
      <w:pPr>
        <w:ind w:firstLine="0"/>
        <w:rPr>
          <w:rFonts w:cs="Times New Roman"/>
          <w:b/>
          <w:bCs/>
          <w:szCs w:val="24"/>
        </w:rPr>
      </w:pPr>
    </w:p>
    <w:p w:rsidR="00F61B78" w:rsidRDefault="00F61B78" w:rsidP="006D1C0B">
      <w:pPr>
        <w:ind w:firstLine="0"/>
        <w:rPr>
          <w:rFonts w:cs="Times New Roman"/>
          <w:b/>
          <w:bCs/>
          <w:szCs w:val="24"/>
        </w:rPr>
      </w:pPr>
    </w:p>
    <w:p w:rsidR="006023F3" w:rsidRDefault="00703F39" w:rsidP="006D1C0B">
      <w:pPr>
        <w:ind w:firstLine="0"/>
        <w:rPr>
          <w:rFonts w:cs="Times New Roman"/>
          <w:b/>
          <w:bCs/>
          <w:szCs w:val="24"/>
        </w:rPr>
      </w:pPr>
      <w:r>
        <w:rPr>
          <w:rFonts w:cs="Times New Roman"/>
          <w:b/>
          <w:bCs/>
          <w:szCs w:val="24"/>
        </w:rPr>
        <w:lastRenderedPageBreak/>
        <w:t>Tableau N°15</w:t>
      </w:r>
      <w:r w:rsidR="00CA15FD" w:rsidRPr="00EB63CB">
        <w:rPr>
          <w:rFonts w:cs="Times New Roman"/>
          <w:b/>
          <w:bCs/>
          <w:szCs w:val="24"/>
        </w:rPr>
        <w:t> : Tableau des taux appliqués aux opérations de reprise de liquidité</w:t>
      </w:r>
    </w:p>
    <w:p w:rsidR="00F319DE" w:rsidRDefault="00CC0573" w:rsidP="006D1C0B">
      <w:pPr>
        <w:ind w:firstLine="0"/>
        <w:rPr>
          <w:rFonts w:cs="Times New Roman"/>
          <w:b/>
          <w:bCs/>
          <w:szCs w:val="24"/>
        </w:rPr>
      </w:pPr>
      <w:r>
        <w:rPr>
          <w:noProof/>
        </w:rPr>
        <mc:AlternateContent>
          <mc:Choice Requires="wps">
            <w:drawing>
              <wp:anchor distT="0" distB="0" distL="114300" distR="114300" simplePos="0" relativeHeight="251712512" behindDoc="0" locked="0" layoutInCell="1" allowOverlap="1" wp14:anchorId="54182D8F" wp14:editId="3E98A0CA">
                <wp:simplePos x="0" y="0"/>
                <wp:positionH relativeFrom="column">
                  <wp:posOffset>292100</wp:posOffset>
                </wp:positionH>
                <wp:positionV relativeFrom="paragraph">
                  <wp:posOffset>2064385</wp:posOffset>
                </wp:positionV>
                <wp:extent cx="5524500" cy="350520"/>
                <wp:effectExtent l="0" t="0" r="0" b="0"/>
                <wp:wrapNone/>
                <wp:docPr id="20" name="Zone de texte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24500" cy="3505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26CCF" w:rsidRPr="00A96098" w:rsidRDefault="00826CCF" w:rsidP="00A96098">
                            <w:pPr>
                              <w:jc w:val="right"/>
                              <w:rPr>
                                <w:sz w:val="20"/>
                                <w:szCs w:val="20"/>
                              </w:rPr>
                            </w:pPr>
                            <w:r w:rsidRPr="00A96098">
                              <w:rPr>
                                <w:rFonts w:eastAsia="Calibri" w:cs="Times New Roman"/>
                                <w:sz w:val="20"/>
                                <w:szCs w:val="20"/>
                                <w:lang w:eastAsia="en-US"/>
                              </w:rPr>
                              <w:t>Source : Rapport de la Banque d’Algérie,</w:t>
                            </w:r>
                            <w:r>
                              <w:rPr>
                                <w:rFonts w:eastAsia="Calibri" w:cs="Times New Roman"/>
                                <w:sz w:val="20"/>
                                <w:szCs w:val="20"/>
                                <w:lang w:eastAsia="en-US"/>
                              </w:rPr>
                              <w:t xml:space="preserve"> Situation mensuel du marché monétaire,</w:t>
                            </w:r>
                            <w:r w:rsidRPr="00A96098">
                              <w:rPr>
                                <w:rFonts w:eastAsia="Calibri" w:cs="Times New Roman"/>
                                <w:sz w:val="20"/>
                                <w:szCs w:val="20"/>
                                <w:lang w:eastAsia="en-US"/>
                              </w:rPr>
                              <w:t xml:space="preserve"> 2014</w:t>
                            </w:r>
                            <w:r>
                              <w:rPr>
                                <w:rFonts w:eastAsia="Calibri" w:cs="Times New Roman"/>
                                <w:sz w:val="20"/>
                                <w:szCs w:val="20"/>
                                <w:lang w:eastAsia="en-US"/>
                              </w:rPr>
                              <w:t>.</w:t>
                            </w:r>
                          </w:p>
                          <w:p w:rsidR="00826CCF" w:rsidRDefault="00826CC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Zone de texte 22" o:spid="_x0000_s1039" type="#_x0000_t202" style="position:absolute;left:0;text-align:left;margin-left:23pt;margin-top:162.55pt;width:435pt;height:27.6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" fillcolor="white [3201]" stroked="f" strokeweight=".5pt">
                <v:path arrowok="t"/>
                <v:textbox>
                  <w:txbxContent>
                    <w:p w:rsidR="00826CCF" w:rsidRPr="00A96098" w:rsidRDefault="00826CCF" w:rsidP="00A96098">
                      <w:pPr>
                        <w:jc w:val="right"/>
                        <w:rPr>
                          <w:sz w:val="20"/>
                          <w:szCs w:val="20"/>
                        </w:rPr>
                      </w:pPr>
                      <w:r w:rsidRPr="00A96098">
                        <w:rPr>
                          <w:rFonts w:eastAsia="Calibri" w:cs="Times New Roman"/>
                          <w:sz w:val="20"/>
                          <w:szCs w:val="20"/>
                          <w:lang w:eastAsia="en-US"/>
                        </w:rPr>
                        <w:t>Source : Rapport de la Banque d’Algérie,</w:t>
                      </w:r>
                      <w:r>
                        <w:rPr>
                          <w:rFonts w:eastAsia="Calibri" w:cs="Times New Roman"/>
                          <w:sz w:val="20"/>
                          <w:szCs w:val="20"/>
                          <w:lang w:eastAsia="en-US"/>
                        </w:rPr>
                        <w:t xml:space="preserve"> Situation mensuel du marché monétaire,</w:t>
                      </w:r>
                      <w:r w:rsidRPr="00A96098">
                        <w:rPr>
                          <w:rFonts w:eastAsia="Calibri" w:cs="Times New Roman"/>
                          <w:sz w:val="20"/>
                          <w:szCs w:val="20"/>
                          <w:lang w:eastAsia="en-US"/>
                        </w:rPr>
                        <w:t xml:space="preserve"> 2014</w:t>
                      </w:r>
                      <w:r>
                        <w:rPr>
                          <w:rFonts w:eastAsia="Calibri" w:cs="Times New Roman"/>
                          <w:sz w:val="20"/>
                          <w:szCs w:val="20"/>
                          <w:lang w:eastAsia="en-US"/>
                        </w:rPr>
                        <w:t>.</w:t>
                      </w:r>
                    </w:p>
                    <w:p w:rsidR="00826CCF" w:rsidRDefault="00826CCF"/>
                  </w:txbxContent>
                </v:textbox>
              </v:shape>
            </w:pict>
          </mc:Fallback>
        </mc:AlternateContent>
      </w:r>
    </w:p>
    <w:tbl>
      <w:tblPr>
        <w:tblpPr w:leftFromText="141" w:rightFromText="141" w:vertAnchor="page" w:horzAnchor="margin" w:tblpY="23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644"/>
        <w:gridCol w:w="1560"/>
        <w:gridCol w:w="1701"/>
        <w:gridCol w:w="1307"/>
      </w:tblGrid>
      <w:tr w:rsidR="006023F3" w:rsidRPr="002D0857" w:rsidTr="006023F3">
        <w:tc>
          <w:tcPr>
            <w:tcW w:w="4644"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Taux</w:t>
            </w:r>
          </w:p>
        </w:tc>
        <w:tc>
          <w:tcPr>
            <w:tcW w:w="1560"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31/03/2014</w:t>
            </w:r>
          </w:p>
        </w:tc>
        <w:tc>
          <w:tcPr>
            <w:tcW w:w="1701"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30/04/2014</w:t>
            </w:r>
          </w:p>
        </w:tc>
        <w:tc>
          <w:tcPr>
            <w:tcW w:w="1307" w:type="dxa"/>
          </w:tcPr>
          <w:p w:rsidR="006023F3" w:rsidRPr="002D0857" w:rsidRDefault="006023F3" w:rsidP="006023F3">
            <w:pPr>
              <w:spacing w:before="0" w:after="0"/>
              <w:ind w:firstLine="0"/>
              <w:rPr>
                <w:rFonts w:eastAsia="Calibri" w:cs="Times New Roman"/>
                <w:szCs w:val="24"/>
              </w:rPr>
            </w:pPr>
            <w:r>
              <w:rPr>
                <w:rFonts w:eastAsia="Calibri" w:cs="Times New Roman"/>
                <w:szCs w:val="24"/>
              </w:rPr>
              <w:t>V</w:t>
            </w:r>
            <w:r w:rsidRPr="002D0857">
              <w:rPr>
                <w:rFonts w:eastAsia="Calibri" w:cs="Times New Roman"/>
                <w:szCs w:val="24"/>
              </w:rPr>
              <w:t>ariation</w:t>
            </w:r>
          </w:p>
        </w:tc>
      </w:tr>
      <w:tr w:rsidR="006023F3" w:rsidRPr="002D0857" w:rsidTr="006023F3">
        <w:tc>
          <w:tcPr>
            <w:tcW w:w="4644"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Taux moyen pondéré j/j</w:t>
            </w:r>
          </w:p>
        </w:tc>
        <w:tc>
          <w:tcPr>
            <w:tcW w:w="1560"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w:t>
            </w:r>
          </w:p>
        </w:tc>
        <w:tc>
          <w:tcPr>
            <w:tcW w:w="1701"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w:t>
            </w:r>
          </w:p>
        </w:tc>
        <w:tc>
          <w:tcPr>
            <w:tcW w:w="1307"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w:t>
            </w:r>
          </w:p>
        </w:tc>
      </w:tr>
      <w:tr w:rsidR="006023F3" w:rsidRPr="002D0857" w:rsidTr="006023F3">
        <w:tc>
          <w:tcPr>
            <w:tcW w:w="4644"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TMP des opérations à terme</w:t>
            </w:r>
          </w:p>
        </w:tc>
        <w:tc>
          <w:tcPr>
            <w:tcW w:w="1560"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2, 09158%</w:t>
            </w:r>
          </w:p>
        </w:tc>
        <w:tc>
          <w:tcPr>
            <w:tcW w:w="1701"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2, 20637%</w:t>
            </w:r>
          </w:p>
        </w:tc>
        <w:tc>
          <w:tcPr>
            <w:tcW w:w="1307"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0, 11%</w:t>
            </w:r>
          </w:p>
        </w:tc>
      </w:tr>
      <w:tr w:rsidR="006023F3" w:rsidRPr="002D0857" w:rsidTr="006023F3">
        <w:tc>
          <w:tcPr>
            <w:tcW w:w="4644"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Taux de la reprise de liquidité à 7 jours</w:t>
            </w:r>
          </w:p>
        </w:tc>
        <w:tc>
          <w:tcPr>
            <w:tcW w:w="1560"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0, 75000%</w:t>
            </w:r>
          </w:p>
        </w:tc>
        <w:tc>
          <w:tcPr>
            <w:tcW w:w="1701"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0, 75000%</w:t>
            </w:r>
          </w:p>
        </w:tc>
        <w:tc>
          <w:tcPr>
            <w:tcW w:w="1307"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0 ,00%</w:t>
            </w:r>
          </w:p>
        </w:tc>
      </w:tr>
      <w:tr w:rsidR="006023F3" w:rsidRPr="002D0857" w:rsidTr="006023F3">
        <w:tc>
          <w:tcPr>
            <w:tcW w:w="4644"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Taux de la reprise de liquidité à 3 mois</w:t>
            </w:r>
          </w:p>
        </w:tc>
        <w:tc>
          <w:tcPr>
            <w:tcW w:w="1560"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1, 25000%</w:t>
            </w:r>
          </w:p>
        </w:tc>
        <w:tc>
          <w:tcPr>
            <w:tcW w:w="1701"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1, 25000%</w:t>
            </w:r>
          </w:p>
        </w:tc>
        <w:tc>
          <w:tcPr>
            <w:tcW w:w="1307"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0, 00%</w:t>
            </w:r>
          </w:p>
        </w:tc>
      </w:tr>
      <w:tr w:rsidR="006023F3" w:rsidRPr="002D0857" w:rsidTr="006023F3">
        <w:tc>
          <w:tcPr>
            <w:tcW w:w="4644"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Taux de la reprise de liquidité à 6 mois</w:t>
            </w:r>
          </w:p>
        </w:tc>
        <w:tc>
          <w:tcPr>
            <w:tcW w:w="1560"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1, 50000%</w:t>
            </w:r>
          </w:p>
        </w:tc>
        <w:tc>
          <w:tcPr>
            <w:tcW w:w="1701"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1, 50000%</w:t>
            </w:r>
          </w:p>
        </w:tc>
        <w:tc>
          <w:tcPr>
            <w:tcW w:w="1307"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0, 00%</w:t>
            </w:r>
          </w:p>
        </w:tc>
      </w:tr>
      <w:tr w:rsidR="006023F3" w:rsidRPr="002D0857" w:rsidTr="006023F3">
        <w:tc>
          <w:tcPr>
            <w:tcW w:w="4644"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Taux de facilité de dépôts</w:t>
            </w:r>
          </w:p>
        </w:tc>
        <w:tc>
          <w:tcPr>
            <w:tcW w:w="1560"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0, 30000%</w:t>
            </w:r>
          </w:p>
        </w:tc>
        <w:tc>
          <w:tcPr>
            <w:tcW w:w="1701"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0, 30000%</w:t>
            </w:r>
          </w:p>
        </w:tc>
        <w:tc>
          <w:tcPr>
            <w:tcW w:w="1307" w:type="dxa"/>
          </w:tcPr>
          <w:p w:rsidR="006023F3" w:rsidRPr="002D0857" w:rsidRDefault="006023F3" w:rsidP="006023F3">
            <w:pPr>
              <w:spacing w:before="0" w:after="0"/>
              <w:ind w:firstLine="0"/>
              <w:rPr>
                <w:rFonts w:eastAsia="Calibri" w:cs="Times New Roman"/>
                <w:szCs w:val="24"/>
              </w:rPr>
            </w:pPr>
            <w:r w:rsidRPr="002D0857">
              <w:rPr>
                <w:rFonts w:eastAsia="Calibri" w:cs="Times New Roman"/>
                <w:szCs w:val="24"/>
              </w:rPr>
              <w:t>0, 00%</w:t>
            </w:r>
          </w:p>
        </w:tc>
      </w:tr>
    </w:tbl>
    <w:p w:rsidR="006023F3" w:rsidRDefault="00703F39" w:rsidP="00CA15FD">
      <w:r>
        <w:rPr>
          <w:rFonts w:cs="Times New Roman"/>
          <w:b/>
          <w:bCs/>
          <w:szCs w:val="24"/>
        </w:rPr>
        <w:t>Tableau n°16</w:t>
      </w:r>
      <w:r w:rsidR="006023F3">
        <w:rPr>
          <w:rFonts w:cs="Times New Roman"/>
          <w:b/>
          <w:bCs/>
          <w:szCs w:val="24"/>
        </w:rPr>
        <w:t> : T</w:t>
      </w:r>
      <w:r w:rsidR="006023F3" w:rsidRPr="00EB63CB">
        <w:rPr>
          <w:rFonts w:cs="Times New Roman"/>
          <w:b/>
          <w:bCs/>
          <w:szCs w:val="24"/>
        </w:rPr>
        <w:t xml:space="preserve">ableau des montants absorbés par la </w:t>
      </w:r>
      <w:r w:rsidR="006023F3">
        <w:rPr>
          <w:rFonts w:cs="Times New Roman"/>
          <w:b/>
          <w:bCs/>
          <w:szCs w:val="24"/>
        </w:rPr>
        <w:t>Banque d’Algérie.</w:t>
      </w:r>
    </w:p>
    <w:tbl>
      <w:tblPr>
        <w:tblpPr w:leftFromText="141" w:rightFromText="141" w:vertAnchor="text" w:horzAnchor="margin" w:tblpY="19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15"/>
        <w:gridCol w:w="1979"/>
        <w:gridCol w:w="1839"/>
        <w:gridCol w:w="1447"/>
      </w:tblGrid>
      <w:tr w:rsidR="006023F3" w:rsidRPr="00083B5C" w:rsidTr="006023F3">
        <w:tc>
          <w:tcPr>
            <w:tcW w:w="3915"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 xml:space="preserve">Intervention de la </w:t>
            </w:r>
            <w:r>
              <w:rPr>
                <w:rFonts w:cs="Times New Roman"/>
                <w:szCs w:val="24"/>
              </w:rPr>
              <w:t>Banque d’Algérie</w:t>
            </w:r>
          </w:p>
        </w:tc>
        <w:tc>
          <w:tcPr>
            <w:tcW w:w="197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31/12/1014</w:t>
            </w:r>
          </w:p>
        </w:tc>
        <w:tc>
          <w:tcPr>
            <w:tcW w:w="183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31/01/2015</w:t>
            </w:r>
          </w:p>
        </w:tc>
        <w:tc>
          <w:tcPr>
            <w:tcW w:w="1447"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variation</w:t>
            </w:r>
          </w:p>
        </w:tc>
      </w:tr>
      <w:tr w:rsidR="006023F3" w:rsidRPr="00083B5C" w:rsidTr="006023F3">
        <w:tc>
          <w:tcPr>
            <w:tcW w:w="3915"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 xml:space="preserve">Les opérations d’open </w:t>
            </w:r>
            <w:proofErr w:type="spellStart"/>
            <w:r w:rsidRPr="00083B5C">
              <w:rPr>
                <w:rFonts w:cs="Times New Roman"/>
                <w:szCs w:val="24"/>
              </w:rPr>
              <w:t>market</w:t>
            </w:r>
            <w:proofErr w:type="spellEnd"/>
          </w:p>
        </w:tc>
        <w:tc>
          <w:tcPr>
            <w:tcW w:w="197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w:t>
            </w:r>
          </w:p>
        </w:tc>
        <w:tc>
          <w:tcPr>
            <w:tcW w:w="183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w:t>
            </w:r>
          </w:p>
        </w:tc>
        <w:tc>
          <w:tcPr>
            <w:tcW w:w="1447"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w:t>
            </w:r>
          </w:p>
        </w:tc>
      </w:tr>
      <w:tr w:rsidR="006023F3" w:rsidRPr="00083B5C" w:rsidTr="006023F3">
        <w:tc>
          <w:tcPr>
            <w:tcW w:w="3915"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Reprise de liquidité</w:t>
            </w:r>
          </w:p>
        </w:tc>
        <w:tc>
          <w:tcPr>
            <w:tcW w:w="197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1 350 000, 00</w:t>
            </w:r>
          </w:p>
        </w:tc>
        <w:tc>
          <w:tcPr>
            <w:tcW w:w="183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1 199 500, 00</w:t>
            </w:r>
          </w:p>
        </w:tc>
        <w:tc>
          <w:tcPr>
            <w:tcW w:w="1447"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-150 500, 00</w:t>
            </w:r>
          </w:p>
        </w:tc>
      </w:tr>
      <w:tr w:rsidR="006023F3" w:rsidRPr="00083B5C" w:rsidTr="006023F3">
        <w:tc>
          <w:tcPr>
            <w:tcW w:w="3915"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Facilités permanentes</w:t>
            </w:r>
          </w:p>
        </w:tc>
        <w:tc>
          <w:tcPr>
            <w:tcW w:w="197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w:t>
            </w:r>
          </w:p>
        </w:tc>
        <w:tc>
          <w:tcPr>
            <w:tcW w:w="183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w:t>
            </w:r>
          </w:p>
        </w:tc>
        <w:tc>
          <w:tcPr>
            <w:tcW w:w="1447"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w:t>
            </w:r>
          </w:p>
        </w:tc>
      </w:tr>
      <w:tr w:rsidR="006023F3" w:rsidRPr="00083B5C" w:rsidTr="006023F3">
        <w:tc>
          <w:tcPr>
            <w:tcW w:w="3915"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Dont : Facilité de prêt marginal</w:t>
            </w:r>
          </w:p>
        </w:tc>
        <w:tc>
          <w:tcPr>
            <w:tcW w:w="197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w:t>
            </w:r>
          </w:p>
        </w:tc>
        <w:tc>
          <w:tcPr>
            <w:tcW w:w="183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w:t>
            </w:r>
          </w:p>
        </w:tc>
        <w:tc>
          <w:tcPr>
            <w:tcW w:w="1447"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w:t>
            </w:r>
          </w:p>
        </w:tc>
      </w:tr>
      <w:tr w:rsidR="006023F3" w:rsidRPr="00083B5C" w:rsidTr="006023F3">
        <w:tc>
          <w:tcPr>
            <w:tcW w:w="3915"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Facilité de dépôt rémunéré</w:t>
            </w:r>
          </w:p>
        </w:tc>
        <w:tc>
          <w:tcPr>
            <w:tcW w:w="197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468 600, 00</w:t>
            </w:r>
          </w:p>
        </w:tc>
        <w:tc>
          <w:tcPr>
            <w:tcW w:w="1839"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95 166,00</w:t>
            </w:r>
          </w:p>
        </w:tc>
        <w:tc>
          <w:tcPr>
            <w:tcW w:w="1447" w:type="dxa"/>
            <w:vAlign w:val="center"/>
          </w:tcPr>
          <w:p w:rsidR="006023F3" w:rsidRPr="00083B5C" w:rsidRDefault="006023F3" w:rsidP="006023F3">
            <w:pPr>
              <w:spacing w:before="0" w:after="0"/>
              <w:ind w:firstLine="0"/>
              <w:jc w:val="left"/>
              <w:rPr>
                <w:rFonts w:cs="Times New Roman"/>
                <w:szCs w:val="24"/>
              </w:rPr>
            </w:pPr>
            <w:r w:rsidRPr="00083B5C">
              <w:rPr>
                <w:rFonts w:cs="Times New Roman"/>
                <w:szCs w:val="24"/>
              </w:rPr>
              <w:t>-373434,00</w:t>
            </w:r>
          </w:p>
        </w:tc>
      </w:tr>
    </w:tbl>
    <w:p w:rsidR="006023F3" w:rsidRPr="005C3607" w:rsidRDefault="00A96098" w:rsidP="006023F3">
      <w:pPr>
        <w:jc w:val="right"/>
        <w:rPr>
          <w:rFonts w:cs="Times New Roman"/>
          <w:sz w:val="22"/>
        </w:rPr>
      </w:pPr>
      <w:r w:rsidRPr="00A96098">
        <w:rPr>
          <w:rFonts w:eastAsia="Calibri" w:cs="Times New Roman"/>
          <w:sz w:val="20"/>
          <w:szCs w:val="20"/>
          <w:lang w:eastAsia="en-US"/>
        </w:rPr>
        <w:t>Source : Rapport de la Banque d’Algérie,</w:t>
      </w:r>
      <w:r>
        <w:rPr>
          <w:rFonts w:eastAsia="Calibri" w:cs="Times New Roman"/>
          <w:sz w:val="20"/>
          <w:szCs w:val="20"/>
          <w:lang w:eastAsia="en-US"/>
        </w:rPr>
        <w:t xml:space="preserve"> Situation mensuel du marché monétaire,</w:t>
      </w:r>
      <w:r w:rsidRPr="00A96098">
        <w:rPr>
          <w:rFonts w:eastAsia="Calibri" w:cs="Times New Roman"/>
          <w:sz w:val="20"/>
          <w:szCs w:val="20"/>
          <w:lang w:eastAsia="en-US"/>
        </w:rPr>
        <w:t xml:space="preserve"> 2014</w:t>
      </w:r>
      <w:r w:rsidR="006023F3" w:rsidRPr="005C3607">
        <w:rPr>
          <w:rFonts w:cs="Times New Roman"/>
          <w:sz w:val="22"/>
        </w:rPr>
        <w:t>.</w:t>
      </w:r>
    </w:p>
    <w:p w:rsidR="006D1C0B" w:rsidRDefault="006C2BE8" w:rsidP="006023F3">
      <w:r w:rsidRPr="00EB63CB">
        <w:t xml:space="preserve">Le montant absorbé au titre de la reprise de liquidité par appel d’offres en fin </w:t>
      </w:r>
      <w:r>
        <w:t>J</w:t>
      </w:r>
      <w:r w:rsidRPr="00EB63CB">
        <w:t xml:space="preserve">anvier 2015 a atteint 1200 </w:t>
      </w:r>
      <w:r>
        <w:t>Mds</w:t>
      </w:r>
      <w:r w:rsidRPr="00EB63CB">
        <w:t xml:space="preserve"> de </w:t>
      </w:r>
      <w:r>
        <w:t>Dinars</w:t>
      </w:r>
      <w:r w:rsidR="00EB369F">
        <w:t xml:space="preserve"> contre un objectif de 13</w:t>
      </w:r>
      <w:r w:rsidRPr="00EB63CB">
        <w:t xml:space="preserve">50 </w:t>
      </w:r>
      <w:r>
        <w:t>Mds</w:t>
      </w:r>
      <w:r w:rsidRPr="00EB63CB">
        <w:t xml:space="preserve"> de </w:t>
      </w:r>
      <w:r>
        <w:t>Dinars</w:t>
      </w:r>
      <w:r w:rsidRPr="00EB63CB">
        <w:t xml:space="preserve"> à fin </w:t>
      </w:r>
      <w:r>
        <w:t>D</w:t>
      </w:r>
      <w:r w:rsidRPr="00EB63CB">
        <w:t xml:space="preserve">écembre 2014, soit un recul de 150 </w:t>
      </w:r>
      <w:r>
        <w:t>Mds</w:t>
      </w:r>
      <w:r w:rsidRPr="00EB63CB">
        <w:t xml:space="preserve"> de </w:t>
      </w:r>
      <w:r>
        <w:t>Dinars</w:t>
      </w:r>
      <w:r w:rsidRPr="00EB63CB">
        <w:t xml:space="preserve">. Les encours des reprises de liquidités à 7 jours, </w:t>
      </w:r>
      <w:r>
        <w:t xml:space="preserve">à </w:t>
      </w:r>
      <w:r w:rsidRPr="00EB63CB">
        <w:t xml:space="preserve">3 mois et </w:t>
      </w:r>
      <w:r>
        <w:t xml:space="preserve">à </w:t>
      </w:r>
      <w:r w:rsidRPr="00EB63CB">
        <w:t>6 mois s’élève</w:t>
      </w:r>
      <w:r>
        <w:t>nt</w:t>
      </w:r>
      <w:r w:rsidRPr="00EB63CB">
        <w:t xml:space="preserve"> respectivement à 846 </w:t>
      </w:r>
      <w:r>
        <w:t>Mds</w:t>
      </w:r>
      <w:r w:rsidRPr="00EB63CB">
        <w:t xml:space="preserve"> de </w:t>
      </w:r>
      <w:r>
        <w:t>Dinars</w:t>
      </w:r>
      <w:r w:rsidRPr="00EB63CB">
        <w:t xml:space="preserve">, 275 </w:t>
      </w:r>
      <w:r>
        <w:t>Mds</w:t>
      </w:r>
      <w:r w:rsidRPr="00EB63CB">
        <w:t xml:space="preserve"> de </w:t>
      </w:r>
      <w:r>
        <w:t>Dinars</w:t>
      </w:r>
      <w:r w:rsidRPr="00EB63CB">
        <w:t xml:space="preserve"> et 79 </w:t>
      </w:r>
      <w:r>
        <w:t>Mds</w:t>
      </w:r>
      <w:r w:rsidRPr="00EB63CB">
        <w:t xml:space="preserve"> de </w:t>
      </w:r>
      <w:r>
        <w:t>Dinars</w:t>
      </w:r>
      <w:r w:rsidRPr="00EB63CB">
        <w:rPr>
          <w:rStyle w:val="Appelnotedebasdep"/>
          <w:rFonts w:cs="Times New Roman"/>
          <w:szCs w:val="24"/>
        </w:rPr>
        <w:footnoteReference w:id="56"/>
      </w:r>
      <w:r w:rsidRPr="00EB63CB">
        <w:t>.</w:t>
      </w:r>
    </w:p>
    <w:p w:rsidR="00EC2073" w:rsidRPr="00EB63CB" w:rsidRDefault="00EC2073" w:rsidP="006C56F3">
      <w:r w:rsidRPr="00EB63CB">
        <w:t xml:space="preserve">La </w:t>
      </w:r>
      <w:r>
        <w:t>Banque d’Algérie</w:t>
      </w:r>
      <w:r w:rsidRPr="00EB63CB">
        <w:t xml:space="preserve"> maintien son rythme et ses conditions d’intervention sur le marché monétaire. A cet effet, les taux appliqués aux opérations de reprise de liquidité à 7 jours, </w:t>
      </w:r>
      <w:r>
        <w:t xml:space="preserve">à </w:t>
      </w:r>
      <w:r w:rsidRPr="00EB63CB">
        <w:t xml:space="preserve">3 mois et </w:t>
      </w:r>
      <w:r>
        <w:t xml:space="preserve">à </w:t>
      </w:r>
      <w:r w:rsidRPr="00EB63CB">
        <w:t>6 mois, sont fixés respectivement à 0,75%, 1,25% et 1,50%</w:t>
      </w:r>
      <w:r w:rsidRPr="00EB63CB">
        <w:rPr>
          <w:rStyle w:val="Appelnotedebasdep"/>
          <w:rFonts w:cs="Times New Roman"/>
          <w:szCs w:val="24"/>
        </w:rPr>
        <w:footnoteReference w:id="57"/>
      </w:r>
      <w:r w:rsidRPr="00EB63CB">
        <w:t xml:space="preserve"> (voir le tableau ci-dessous).</w:t>
      </w:r>
    </w:p>
    <w:p w:rsidR="00EC2073" w:rsidRPr="00EB63CB" w:rsidRDefault="00EC2073" w:rsidP="00EC2073">
      <w:pPr>
        <w:rPr>
          <w:rFonts w:cs="Times New Roman"/>
          <w:szCs w:val="24"/>
        </w:rPr>
      </w:pPr>
      <w:r w:rsidRPr="00EB63CB">
        <w:rPr>
          <w:rFonts w:cs="Times New Roman"/>
          <w:szCs w:val="24"/>
        </w:rPr>
        <w:lastRenderedPageBreak/>
        <w:t xml:space="preserve">En fin </w:t>
      </w:r>
      <w:r>
        <w:rPr>
          <w:rFonts w:cs="Times New Roman"/>
          <w:szCs w:val="24"/>
        </w:rPr>
        <w:t>M</w:t>
      </w:r>
      <w:r w:rsidRPr="00EB63CB">
        <w:rPr>
          <w:rFonts w:cs="Times New Roman"/>
          <w:szCs w:val="24"/>
        </w:rPr>
        <w:t xml:space="preserve">ars 2015, le montant absorbé au titre de </w:t>
      </w:r>
      <w:r>
        <w:rPr>
          <w:rFonts w:cs="Times New Roman"/>
          <w:szCs w:val="24"/>
        </w:rPr>
        <w:t xml:space="preserve">la </w:t>
      </w:r>
      <w:r w:rsidRPr="00EB63CB">
        <w:rPr>
          <w:rFonts w:cs="Times New Roman"/>
          <w:szCs w:val="24"/>
        </w:rPr>
        <w:t xml:space="preserve">reprise de liquidité avait atteint 1 054,5 </w:t>
      </w:r>
      <w:r w:rsidRPr="004B44E7">
        <w:rPr>
          <w:rFonts w:cs="Times New Roman"/>
          <w:szCs w:val="24"/>
        </w:rPr>
        <w:t xml:space="preserve">Milliards </w:t>
      </w:r>
      <w:r>
        <w:rPr>
          <w:rFonts w:cs="Times New Roman"/>
          <w:szCs w:val="24"/>
        </w:rPr>
        <w:t xml:space="preserve"> de </w:t>
      </w:r>
      <w:r w:rsidRPr="004B44E7">
        <w:rPr>
          <w:rFonts w:cs="Times New Roman"/>
          <w:szCs w:val="24"/>
        </w:rPr>
        <w:t>Dinars</w:t>
      </w:r>
      <w:r w:rsidRPr="00EB63CB">
        <w:rPr>
          <w:rFonts w:cs="Times New Roman"/>
          <w:szCs w:val="24"/>
        </w:rPr>
        <w:t xml:space="preserve">, contre un montant de 1 207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fin </w:t>
      </w:r>
      <w:r>
        <w:rPr>
          <w:rFonts w:cs="Times New Roman"/>
          <w:szCs w:val="24"/>
        </w:rPr>
        <w:t>F</w:t>
      </w:r>
      <w:r w:rsidRPr="00EB63CB">
        <w:rPr>
          <w:rFonts w:cs="Times New Roman"/>
          <w:szCs w:val="24"/>
        </w:rPr>
        <w:t xml:space="preserve">évrier  2015, soit un recul de 152, 5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a indiqué la </w:t>
      </w:r>
      <w:r>
        <w:rPr>
          <w:rFonts w:cs="Times New Roman"/>
          <w:szCs w:val="24"/>
        </w:rPr>
        <w:t>Banque d’Algérie</w:t>
      </w:r>
      <w:r w:rsidRPr="00EB63CB">
        <w:rPr>
          <w:rFonts w:cs="Times New Roman"/>
          <w:szCs w:val="24"/>
        </w:rPr>
        <w:t xml:space="preserve">. Les encours de reprise de liquidité à 7 jours, 3 mois et à 6 mois s’élèvent respectivement à 700,5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275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et 79 </w:t>
      </w:r>
      <w:r>
        <w:rPr>
          <w:rFonts w:cs="Times New Roman"/>
          <w:szCs w:val="24"/>
        </w:rPr>
        <w:t>Mds</w:t>
      </w:r>
      <w:r w:rsidRPr="00EB63CB">
        <w:rPr>
          <w:rFonts w:cs="Times New Roman"/>
          <w:szCs w:val="24"/>
        </w:rPr>
        <w:t xml:space="preserve"> de </w:t>
      </w:r>
      <w:r>
        <w:rPr>
          <w:rFonts w:cs="Times New Roman"/>
          <w:szCs w:val="24"/>
        </w:rPr>
        <w:t>Dinars</w:t>
      </w:r>
      <w:r w:rsidRPr="00EB63CB">
        <w:rPr>
          <w:rStyle w:val="Appelnotedebasdep"/>
          <w:rFonts w:cs="Times New Roman"/>
          <w:szCs w:val="24"/>
        </w:rPr>
        <w:footnoteReference w:id="58"/>
      </w:r>
      <w:r w:rsidRPr="00EB63CB">
        <w:rPr>
          <w:rFonts w:cs="Times New Roman"/>
          <w:szCs w:val="24"/>
        </w:rPr>
        <w:t>.</w:t>
      </w:r>
    </w:p>
    <w:p w:rsidR="00EC2073" w:rsidRPr="00EB63CB" w:rsidRDefault="00977420" w:rsidP="00D778F2">
      <w:pPr>
        <w:ind w:firstLine="0"/>
        <w:rPr>
          <w:rFonts w:cs="Times New Roman"/>
          <w:b/>
          <w:bCs/>
          <w:szCs w:val="24"/>
        </w:rPr>
      </w:pPr>
      <w:r>
        <w:rPr>
          <w:rFonts w:cs="Times New Roman"/>
          <w:b/>
          <w:bCs/>
          <w:szCs w:val="24"/>
        </w:rPr>
        <w:t xml:space="preserve">1.3 </w:t>
      </w:r>
      <w:r w:rsidR="00CA6CC3">
        <w:rPr>
          <w:rFonts w:cs="Times New Roman"/>
          <w:b/>
          <w:bCs/>
          <w:szCs w:val="24"/>
        </w:rPr>
        <w:t xml:space="preserve"> </w:t>
      </w:r>
      <w:r w:rsidR="00EC2073" w:rsidRPr="00EB63CB">
        <w:rPr>
          <w:rFonts w:cs="Times New Roman"/>
          <w:b/>
          <w:bCs/>
          <w:szCs w:val="24"/>
        </w:rPr>
        <w:t>La facilité de dépôts</w:t>
      </w:r>
    </w:p>
    <w:p w:rsidR="00EC2073" w:rsidRPr="00EB63CB" w:rsidRDefault="00EC2073" w:rsidP="00EC2073">
      <w:pPr>
        <w:rPr>
          <w:rFonts w:cs="Times New Roman"/>
          <w:szCs w:val="24"/>
        </w:rPr>
      </w:pPr>
      <w:r w:rsidRPr="00EB63CB">
        <w:rPr>
          <w:rFonts w:cs="Times New Roman"/>
          <w:szCs w:val="24"/>
        </w:rPr>
        <w:t xml:space="preserve">Afin de bien contrôler le phénomène d’excès de liquidité sur le marché monétaire inhérent, essentiellement, au comportement du facteur autonome «  variation positive des avoirs extérieurs nets », la </w:t>
      </w:r>
      <w:r>
        <w:rPr>
          <w:rFonts w:cs="Times New Roman"/>
          <w:szCs w:val="24"/>
        </w:rPr>
        <w:t>Banque d’Algérie</w:t>
      </w:r>
      <w:r w:rsidRPr="00EB63CB">
        <w:rPr>
          <w:rFonts w:cs="Times New Roman"/>
          <w:szCs w:val="24"/>
        </w:rPr>
        <w:t xml:space="preserve"> a introduit en juin 2005 la facilité permanente dénommée « facilité de dépôts rémunéré à 24 heures » (instruction n°04-05 du 14juin 2005) dont le taux d’intérêt a été fixé à 0,3%, et qui permet aux banques des placements des montants illimités</w:t>
      </w:r>
      <w:r w:rsidRPr="00EB63CB">
        <w:rPr>
          <w:rStyle w:val="Appelnotedebasdep"/>
          <w:rFonts w:cs="Times New Roman"/>
          <w:szCs w:val="24"/>
        </w:rPr>
        <w:footnoteReference w:id="59"/>
      </w:r>
      <w:r w:rsidRPr="00EB63CB">
        <w:rPr>
          <w:rFonts w:cs="Times New Roman"/>
          <w:szCs w:val="24"/>
        </w:rPr>
        <w:t>.</w:t>
      </w:r>
    </w:p>
    <w:p w:rsidR="00EC2073" w:rsidRPr="00EB63CB" w:rsidRDefault="00EC2073" w:rsidP="00EC2073">
      <w:pPr>
        <w:rPr>
          <w:rFonts w:cs="Times New Roman"/>
          <w:szCs w:val="24"/>
        </w:rPr>
      </w:pPr>
      <w:r w:rsidRPr="00EB63CB">
        <w:rPr>
          <w:rFonts w:cs="Times New Roman"/>
          <w:szCs w:val="24"/>
        </w:rPr>
        <w:t xml:space="preserve">La facilité de dépôts souscrite par les banques a enregistré 479,90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fin 2013 contre 838,08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Ainsi elle a enregistré une diminution de prêts de 38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passant ainsi de 701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663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en fin de mois d’avril 2014</w:t>
      </w:r>
      <w:r w:rsidRPr="00EB63CB">
        <w:rPr>
          <w:rStyle w:val="Appelnotedebasdep"/>
          <w:rFonts w:cs="Times New Roman"/>
          <w:szCs w:val="24"/>
        </w:rPr>
        <w:footnoteReference w:id="60"/>
      </w:r>
      <w:r w:rsidRPr="00EB63CB">
        <w:rPr>
          <w:rFonts w:cs="Times New Roman"/>
          <w:szCs w:val="24"/>
        </w:rPr>
        <w:t>.</w:t>
      </w:r>
    </w:p>
    <w:p w:rsidR="00EC2073" w:rsidRPr="00EB63CB" w:rsidRDefault="00EC2073" w:rsidP="00EC2073">
      <w:pPr>
        <w:ind w:firstLine="708"/>
        <w:rPr>
          <w:rFonts w:cs="Times New Roman"/>
          <w:szCs w:val="24"/>
        </w:rPr>
      </w:pPr>
      <w:r w:rsidRPr="00EB63CB">
        <w:rPr>
          <w:rFonts w:cs="Times New Roman"/>
          <w:szCs w:val="24"/>
        </w:rPr>
        <w:t xml:space="preserve">Cette opération a enregistré un recul important de près de 374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passant de 469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fin décembre 2014 à 95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fin </w:t>
      </w:r>
      <w:r>
        <w:rPr>
          <w:rFonts w:cs="Times New Roman"/>
          <w:szCs w:val="24"/>
        </w:rPr>
        <w:t>J</w:t>
      </w:r>
      <w:r w:rsidRPr="00EB63CB">
        <w:rPr>
          <w:rFonts w:cs="Times New Roman"/>
          <w:szCs w:val="24"/>
        </w:rPr>
        <w:t>anvier 2015. De plus</w:t>
      </w:r>
      <w:r>
        <w:rPr>
          <w:rFonts w:cs="Times New Roman"/>
          <w:szCs w:val="24"/>
        </w:rPr>
        <w:t>,</w:t>
      </w:r>
      <w:r w:rsidRPr="00EB63CB">
        <w:rPr>
          <w:rFonts w:cs="Times New Roman"/>
          <w:szCs w:val="24"/>
        </w:rPr>
        <w:t xml:space="preserve"> elle a enregistré une baisse de 114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passant de 184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fin </w:t>
      </w:r>
      <w:r>
        <w:rPr>
          <w:rFonts w:cs="Times New Roman"/>
          <w:szCs w:val="24"/>
        </w:rPr>
        <w:t>F</w:t>
      </w:r>
      <w:r w:rsidRPr="00EB63CB">
        <w:rPr>
          <w:rFonts w:cs="Times New Roman"/>
          <w:szCs w:val="24"/>
        </w:rPr>
        <w:t xml:space="preserve">évrier 2015  à 70 </w:t>
      </w:r>
      <w:r>
        <w:rPr>
          <w:rFonts w:cs="Times New Roman"/>
          <w:szCs w:val="24"/>
        </w:rPr>
        <w:t>Mds</w:t>
      </w:r>
      <w:r w:rsidRPr="00EB63CB">
        <w:rPr>
          <w:rFonts w:cs="Times New Roman"/>
          <w:szCs w:val="24"/>
        </w:rPr>
        <w:t xml:space="preserve"> de </w:t>
      </w:r>
      <w:r>
        <w:rPr>
          <w:rFonts w:cs="Times New Roman"/>
          <w:szCs w:val="24"/>
        </w:rPr>
        <w:t>Dinars</w:t>
      </w:r>
      <w:r w:rsidRPr="00EB63CB">
        <w:rPr>
          <w:rFonts w:cs="Times New Roman"/>
          <w:szCs w:val="24"/>
        </w:rPr>
        <w:t xml:space="preserve"> à fin </w:t>
      </w:r>
      <w:r>
        <w:rPr>
          <w:rFonts w:cs="Times New Roman"/>
          <w:szCs w:val="24"/>
        </w:rPr>
        <w:t>M</w:t>
      </w:r>
      <w:r w:rsidRPr="00EB63CB">
        <w:rPr>
          <w:rFonts w:cs="Times New Roman"/>
          <w:szCs w:val="24"/>
        </w:rPr>
        <w:t>ars 2015.</w:t>
      </w:r>
    </w:p>
    <w:p w:rsidR="00EC2073" w:rsidRPr="00977420" w:rsidRDefault="00EB369F" w:rsidP="00977420">
      <w:pPr>
        <w:pStyle w:val="Paragraphedeliste"/>
        <w:numPr>
          <w:ilvl w:val="0"/>
          <w:numId w:val="49"/>
        </w:numPr>
        <w:rPr>
          <w:rFonts w:cs="Times New Roman"/>
          <w:b/>
          <w:bCs/>
          <w:szCs w:val="24"/>
        </w:rPr>
      </w:pPr>
      <w:r w:rsidRPr="00977420">
        <w:rPr>
          <w:rFonts w:cs="Times New Roman"/>
          <w:b/>
          <w:bCs/>
          <w:szCs w:val="24"/>
        </w:rPr>
        <w:t>L</w:t>
      </w:r>
      <w:r w:rsidR="00EC2073" w:rsidRPr="00977420">
        <w:rPr>
          <w:rFonts w:cs="Times New Roman"/>
          <w:b/>
          <w:bCs/>
          <w:szCs w:val="24"/>
        </w:rPr>
        <w:t>a gestion de la surliquidité bancaire</w:t>
      </w:r>
    </w:p>
    <w:p w:rsidR="00EC2073" w:rsidRPr="00EB63CB" w:rsidRDefault="00EC2073" w:rsidP="00EC2073">
      <w:pPr>
        <w:pStyle w:val="Paragraphedeliste"/>
        <w:ind w:left="0"/>
        <w:rPr>
          <w:rFonts w:cs="Times New Roman"/>
          <w:szCs w:val="24"/>
        </w:rPr>
      </w:pPr>
      <w:r w:rsidRPr="00EB63CB">
        <w:rPr>
          <w:rFonts w:cs="Times New Roman"/>
          <w:szCs w:val="24"/>
        </w:rPr>
        <w:t>Pour gérer une surliquidité bancaire</w:t>
      </w:r>
      <w:r>
        <w:rPr>
          <w:rFonts w:cs="Times New Roman"/>
          <w:szCs w:val="24"/>
        </w:rPr>
        <w:t>,</w:t>
      </w:r>
      <w:r w:rsidRPr="00EB63CB">
        <w:rPr>
          <w:rFonts w:cs="Times New Roman"/>
          <w:szCs w:val="24"/>
        </w:rPr>
        <w:t xml:space="preserve"> le banquier recourt soit à une gestion </w:t>
      </w:r>
      <w:r w:rsidR="00176706" w:rsidRPr="00EB63CB">
        <w:rPr>
          <w:rFonts w:cs="Times New Roman"/>
          <w:szCs w:val="24"/>
        </w:rPr>
        <w:t>directe généralement</w:t>
      </w:r>
      <w:r w:rsidRPr="00EB63CB">
        <w:rPr>
          <w:rFonts w:cs="Times New Roman"/>
          <w:szCs w:val="24"/>
        </w:rPr>
        <w:t xml:space="preserve"> sur le marché monétaire, soit à une gestion déléguée sur le marché financier, </w:t>
      </w:r>
      <w:proofErr w:type="gramStart"/>
      <w:r w:rsidRPr="00EB63CB">
        <w:rPr>
          <w:rFonts w:cs="Times New Roman"/>
          <w:szCs w:val="24"/>
        </w:rPr>
        <w:t>avec</w:t>
      </w:r>
      <w:proofErr w:type="gramEnd"/>
      <w:r w:rsidRPr="00EB63CB">
        <w:rPr>
          <w:rFonts w:cs="Times New Roman"/>
          <w:szCs w:val="24"/>
        </w:rPr>
        <w:t xml:space="preserve"> l’intervention de la </w:t>
      </w:r>
      <w:r>
        <w:rPr>
          <w:rFonts w:cs="Times New Roman"/>
          <w:szCs w:val="24"/>
        </w:rPr>
        <w:t>Banque Centrale</w:t>
      </w:r>
      <w:r w:rsidRPr="00EB63CB">
        <w:rPr>
          <w:rStyle w:val="Appelnotedebasdep"/>
          <w:rFonts w:cs="Times New Roman"/>
          <w:szCs w:val="24"/>
        </w:rPr>
        <w:footnoteReference w:id="61"/>
      </w:r>
      <w:r w:rsidRPr="00EB63CB">
        <w:rPr>
          <w:rFonts w:cs="Times New Roman"/>
          <w:szCs w:val="24"/>
        </w:rPr>
        <w:t>.</w:t>
      </w:r>
    </w:p>
    <w:p w:rsidR="006023F3" w:rsidRDefault="006023F3" w:rsidP="00CA6CC3">
      <w:pPr>
        <w:ind w:firstLine="0"/>
        <w:rPr>
          <w:rFonts w:cs="Times New Roman"/>
          <w:b/>
          <w:bCs/>
          <w:szCs w:val="24"/>
        </w:rPr>
      </w:pPr>
    </w:p>
    <w:p w:rsidR="00CA15FD" w:rsidRDefault="00CA15FD" w:rsidP="00CA6CC3">
      <w:pPr>
        <w:ind w:firstLine="0"/>
        <w:rPr>
          <w:rFonts w:cs="Times New Roman"/>
          <w:b/>
          <w:bCs/>
          <w:szCs w:val="24"/>
        </w:rPr>
      </w:pPr>
    </w:p>
    <w:p w:rsidR="00EC2073" w:rsidRPr="00EC1B1C" w:rsidRDefault="00977420" w:rsidP="00CA6CC3">
      <w:pPr>
        <w:ind w:firstLine="0"/>
        <w:rPr>
          <w:rFonts w:cs="Times New Roman"/>
          <w:b/>
          <w:bCs/>
          <w:szCs w:val="24"/>
        </w:rPr>
      </w:pPr>
      <w:r>
        <w:rPr>
          <w:rFonts w:cs="Times New Roman"/>
          <w:b/>
          <w:bCs/>
          <w:szCs w:val="24"/>
        </w:rPr>
        <w:lastRenderedPageBreak/>
        <w:t xml:space="preserve">2.1 </w:t>
      </w:r>
      <w:r w:rsidR="00CA6CC3">
        <w:rPr>
          <w:rFonts w:cs="Times New Roman"/>
          <w:b/>
          <w:bCs/>
          <w:szCs w:val="24"/>
        </w:rPr>
        <w:t xml:space="preserve"> La</w:t>
      </w:r>
      <w:r w:rsidR="00EC2073" w:rsidRPr="00EC1B1C">
        <w:rPr>
          <w:rFonts w:cs="Times New Roman"/>
          <w:b/>
          <w:bCs/>
          <w:szCs w:val="24"/>
        </w:rPr>
        <w:t xml:space="preserve"> gestion directe des excédents</w:t>
      </w:r>
    </w:p>
    <w:p w:rsidR="00EC2073" w:rsidRPr="00EB63CB" w:rsidRDefault="00EC2073" w:rsidP="00EC2073">
      <w:pPr>
        <w:rPr>
          <w:rFonts w:cs="Times New Roman"/>
          <w:szCs w:val="24"/>
        </w:rPr>
      </w:pPr>
      <w:r w:rsidRPr="00EB63CB">
        <w:rPr>
          <w:rFonts w:cs="Times New Roman"/>
          <w:szCs w:val="24"/>
        </w:rPr>
        <w:t xml:space="preserve">Une gestion directe se traduit par une politique d’augmentation de la quantité des crédits accordés et le placement des excès sur le marché monétaire, qui va permettre </w:t>
      </w:r>
      <w:r>
        <w:rPr>
          <w:rFonts w:cs="Times New Roman"/>
          <w:szCs w:val="24"/>
        </w:rPr>
        <w:t>à</w:t>
      </w:r>
      <w:r w:rsidRPr="00EB63CB">
        <w:rPr>
          <w:rFonts w:cs="Times New Roman"/>
          <w:szCs w:val="24"/>
        </w:rPr>
        <w:t xml:space="preserve"> la banque d’adapter ses placements à ses propres besoins et d’économiser des frais de gestion.</w:t>
      </w:r>
    </w:p>
    <w:p w:rsidR="00EC2073" w:rsidRPr="00EB63CB" w:rsidRDefault="00EC2073" w:rsidP="00EC2073">
      <w:pPr>
        <w:rPr>
          <w:rFonts w:cs="Times New Roman"/>
          <w:szCs w:val="24"/>
        </w:rPr>
      </w:pPr>
      <w:r w:rsidRPr="00EB63CB">
        <w:rPr>
          <w:rFonts w:cs="Times New Roman"/>
          <w:szCs w:val="24"/>
        </w:rPr>
        <w:t>Donc, dans le cas d’une surliquidité la banque peut recourir au marché interbancaire et/ou au marché monétaire pour placer ses excédents.</w:t>
      </w:r>
    </w:p>
    <w:p w:rsidR="00EC2073" w:rsidRPr="00EB63CB" w:rsidRDefault="00EC2073" w:rsidP="00EC2073">
      <w:pPr>
        <w:rPr>
          <w:rFonts w:cs="Times New Roman"/>
          <w:szCs w:val="24"/>
        </w:rPr>
      </w:pPr>
      <w:r w:rsidRPr="004B44E7">
        <w:rPr>
          <w:rFonts w:cs="Times New Roman"/>
          <w:szCs w:val="24"/>
        </w:rPr>
        <w:t>La gestion directe d’une surliquidité bancaire regroupe trois (03) principales interventions :</w:t>
      </w:r>
    </w:p>
    <w:p w:rsidR="00EC2073" w:rsidRPr="00EB63CB" w:rsidRDefault="00977420" w:rsidP="00EC2073">
      <w:pPr>
        <w:rPr>
          <w:rFonts w:cs="Times New Roman"/>
          <w:b/>
          <w:bCs/>
          <w:szCs w:val="24"/>
        </w:rPr>
      </w:pPr>
      <w:r>
        <w:rPr>
          <w:rFonts w:cs="Times New Roman"/>
          <w:b/>
          <w:bCs/>
          <w:szCs w:val="24"/>
        </w:rPr>
        <w:t xml:space="preserve">2.1.1 </w:t>
      </w:r>
      <w:r w:rsidR="00EC2073" w:rsidRPr="00EB63CB">
        <w:rPr>
          <w:rFonts w:cs="Times New Roman"/>
          <w:b/>
          <w:bCs/>
          <w:szCs w:val="24"/>
        </w:rPr>
        <w:t xml:space="preserve"> La baisse des taux d’intérêts</w:t>
      </w:r>
      <w:r w:rsidR="00EC2073">
        <w:rPr>
          <w:rFonts w:cs="Times New Roman"/>
          <w:b/>
          <w:bCs/>
          <w:szCs w:val="24"/>
        </w:rPr>
        <w:t xml:space="preserve"> : </w:t>
      </w:r>
    </w:p>
    <w:p w:rsidR="00EC2073" w:rsidRPr="00EB63CB" w:rsidRDefault="00EC2073" w:rsidP="00EC2073">
      <w:pPr>
        <w:rPr>
          <w:rFonts w:cs="Times New Roman"/>
          <w:szCs w:val="24"/>
        </w:rPr>
      </w:pPr>
      <w:r w:rsidRPr="00EB63CB">
        <w:rPr>
          <w:rFonts w:cs="Times New Roman"/>
          <w:szCs w:val="24"/>
        </w:rPr>
        <w:t xml:space="preserve">Les banques </w:t>
      </w:r>
      <w:r w:rsidRPr="004B44E7">
        <w:rPr>
          <w:rFonts w:cs="Times New Roman"/>
          <w:szCs w:val="24"/>
        </w:rPr>
        <w:t>surliquides</w:t>
      </w:r>
      <w:r w:rsidRPr="00EB63CB">
        <w:rPr>
          <w:rFonts w:cs="Times New Roman"/>
          <w:szCs w:val="24"/>
        </w:rPr>
        <w:t xml:space="preserve"> peuvent, tout en respectant le ratio de liquidité</w:t>
      </w:r>
      <w:r w:rsidRPr="00EB63CB">
        <w:rPr>
          <w:rStyle w:val="Appelnotedebasdep"/>
          <w:rFonts w:cs="Times New Roman"/>
          <w:szCs w:val="24"/>
        </w:rPr>
        <w:footnoteReference w:id="62"/>
      </w:r>
      <w:r>
        <w:rPr>
          <w:rFonts w:cs="Times New Roman"/>
          <w:szCs w:val="24"/>
        </w:rPr>
        <w:t>,</w:t>
      </w:r>
      <w:r w:rsidRPr="00EB63CB">
        <w:rPr>
          <w:rFonts w:cs="Times New Roman"/>
          <w:szCs w:val="24"/>
        </w:rPr>
        <w:t xml:space="preserve"> mobiliser leurs ressources excessives en octroyant des crédits par une baisse des taux débiteurs tout en gardant une marge d’intérêts positive et en facilitant l’accès à cette source bancaire de financement.   </w:t>
      </w:r>
    </w:p>
    <w:p w:rsidR="00EC2073" w:rsidRPr="00EB63CB" w:rsidRDefault="00EC2073" w:rsidP="00EC2073">
      <w:pPr>
        <w:rPr>
          <w:rFonts w:cs="Times New Roman"/>
          <w:szCs w:val="24"/>
        </w:rPr>
      </w:pPr>
      <w:r w:rsidRPr="00EB63CB">
        <w:rPr>
          <w:rFonts w:cs="Times New Roman"/>
          <w:szCs w:val="24"/>
        </w:rPr>
        <w:t xml:space="preserve">La baisse des taux d’intérêts reçus va diminuer la marge d’intérêts mais pas </w:t>
      </w:r>
      <w:r>
        <w:rPr>
          <w:rFonts w:cs="Times New Roman"/>
          <w:szCs w:val="24"/>
        </w:rPr>
        <w:t xml:space="preserve">celle de la </w:t>
      </w:r>
      <w:r w:rsidRPr="00EB63CB">
        <w:rPr>
          <w:rFonts w:cs="Times New Roman"/>
          <w:szCs w:val="24"/>
        </w:rPr>
        <w:t>rentabilité, puisqu’elle sera compensée par l’ampleur des ressources et la forte demande de crédits par les entreprises et les ménages entraînés par son faible coût. En cas de cette mesure</w:t>
      </w:r>
      <w:r>
        <w:rPr>
          <w:rFonts w:cs="Times New Roman"/>
          <w:szCs w:val="24"/>
        </w:rPr>
        <w:t>,</w:t>
      </w:r>
      <w:r w:rsidRPr="00EB63CB">
        <w:rPr>
          <w:rFonts w:cs="Times New Roman"/>
          <w:szCs w:val="24"/>
        </w:rPr>
        <w:t xml:space="preserve"> ces banques sont assujetties </w:t>
      </w:r>
      <w:r>
        <w:rPr>
          <w:rFonts w:cs="Times New Roman"/>
          <w:szCs w:val="24"/>
        </w:rPr>
        <w:t xml:space="preserve">à </w:t>
      </w:r>
      <w:r w:rsidRPr="00EB63CB">
        <w:rPr>
          <w:rFonts w:cs="Times New Roman"/>
          <w:szCs w:val="24"/>
        </w:rPr>
        <w:t>des ratios prudentiels pour éviter les conséquences des différents risque</w:t>
      </w:r>
      <w:r>
        <w:rPr>
          <w:rFonts w:cs="Times New Roman"/>
          <w:szCs w:val="24"/>
        </w:rPr>
        <w:t xml:space="preserve">s, notamment celui d’illiquidité. </w:t>
      </w:r>
    </w:p>
    <w:p w:rsidR="00EC2073" w:rsidRPr="00EB63CB" w:rsidRDefault="00EC2073" w:rsidP="00EC2073">
      <w:pPr>
        <w:ind w:firstLine="708"/>
        <w:rPr>
          <w:rFonts w:cs="Times New Roman"/>
          <w:szCs w:val="24"/>
        </w:rPr>
      </w:pPr>
      <w:r w:rsidRPr="00EB63CB">
        <w:rPr>
          <w:rFonts w:cs="Times New Roman"/>
          <w:szCs w:val="24"/>
        </w:rPr>
        <w:t xml:space="preserve">Cette politique peut être néfaste pour l’économie, puisque l’accord excessif de crédit conduit à </w:t>
      </w:r>
      <w:r>
        <w:rPr>
          <w:rFonts w:cs="Times New Roman"/>
          <w:szCs w:val="24"/>
        </w:rPr>
        <w:t>u</w:t>
      </w:r>
      <w:r w:rsidRPr="00EB63CB">
        <w:rPr>
          <w:rFonts w:cs="Times New Roman"/>
          <w:szCs w:val="24"/>
        </w:rPr>
        <w:t xml:space="preserve">ne pression inflationniste, obligera les autorités monétaires à réagir à l’aide des différentes politiques, qui peuvent être de véritables obstacles à cette solution. </w:t>
      </w:r>
    </w:p>
    <w:p w:rsidR="00EC2073" w:rsidRPr="00EB63CB" w:rsidRDefault="00977420" w:rsidP="00EC2073">
      <w:pPr>
        <w:rPr>
          <w:rFonts w:cs="Times New Roman"/>
          <w:b/>
          <w:bCs/>
          <w:szCs w:val="24"/>
        </w:rPr>
      </w:pPr>
      <w:r>
        <w:rPr>
          <w:rFonts w:cs="Times New Roman"/>
          <w:b/>
          <w:bCs/>
          <w:szCs w:val="24"/>
        </w:rPr>
        <w:t xml:space="preserve">2.1.2 </w:t>
      </w:r>
      <w:r w:rsidR="006D4A27">
        <w:rPr>
          <w:rFonts w:cs="Times New Roman"/>
          <w:b/>
          <w:bCs/>
          <w:szCs w:val="24"/>
        </w:rPr>
        <w:t xml:space="preserve"> </w:t>
      </w:r>
      <w:r w:rsidR="00EC2073" w:rsidRPr="00EB63CB">
        <w:rPr>
          <w:rFonts w:cs="Times New Roman"/>
          <w:b/>
          <w:bCs/>
          <w:szCs w:val="24"/>
        </w:rPr>
        <w:t xml:space="preserve">Placement sur le marché interbancaire  </w:t>
      </w:r>
    </w:p>
    <w:p w:rsidR="00EC2073" w:rsidRPr="00EB63CB" w:rsidRDefault="00EC2073" w:rsidP="00EC2073">
      <w:pPr>
        <w:rPr>
          <w:rFonts w:cs="Times New Roman"/>
          <w:szCs w:val="24"/>
        </w:rPr>
      </w:pPr>
      <w:r w:rsidRPr="00EB63CB">
        <w:rPr>
          <w:rFonts w:cs="Times New Roman"/>
          <w:szCs w:val="24"/>
        </w:rPr>
        <w:t xml:space="preserve">En dehors du besoin de liquidité, la banque a aussi la possibilité de recourir au marché interbancaire en cas d’excédent pour pouvoir accorder des prêts aux établissements de crédits sous-liquides et qui cherchent à reconstituer leur trésorerie. </w:t>
      </w:r>
    </w:p>
    <w:p w:rsidR="006023F3" w:rsidRDefault="006023F3" w:rsidP="00EC2073">
      <w:pPr>
        <w:rPr>
          <w:rFonts w:cs="Times New Roman"/>
          <w:szCs w:val="24"/>
        </w:rPr>
      </w:pPr>
    </w:p>
    <w:p w:rsidR="006023F3" w:rsidRDefault="006023F3" w:rsidP="00EC2073">
      <w:pPr>
        <w:rPr>
          <w:rFonts w:cs="Times New Roman"/>
          <w:szCs w:val="24"/>
        </w:rPr>
      </w:pPr>
    </w:p>
    <w:p w:rsidR="00EC2073" w:rsidRPr="00EB63CB" w:rsidRDefault="00EC2073" w:rsidP="00EC2073">
      <w:pPr>
        <w:rPr>
          <w:rFonts w:cs="Times New Roman"/>
          <w:szCs w:val="24"/>
        </w:rPr>
      </w:pPr>
      <w:r w:rsidRPr="00EB63CB">
        <w:rPr>
          <w:rFonts w:cs="Times New Roman"/>
          <w:szCs w:val="24"/>
        </w:rPr>
        <w:t xml:space="preserve">Les créances détenues vont être dans le poste 3 de l’actif bancaire, intitulé créances sur les établissements de crédits. Ces créances vont procurer à la banque une rentabilité déterminée par le taux du marché monétaire </w:t>
      </w:r>
      <w:r>
        <w:rPr>
          <w:rFonts w:cs="Times New Roman"/>
          <w:szCs w:val="24"/>
        </w:rPr>
        <w:t>pouvant</w:t>
      </w:r>
      <w:r w:rsidRPr="00EB63CB">
        <w:rPr>
          <w:rFonts w:cs="Times New Roman"/>
          <w:szCs w:val="24"/>
        </w:rPr>
        <w:t xml:space="preserve"> être administré, c’est-à-dire fixé d’une manière discrétionnaire par la </w:t>
      </w:r>
      <w:r>
        <w:rPr>
          <w:rFonts w:cs="Times New Roman"/>
          <w:szCs w:val="24"/>
        </w:rPr>
        <w:t>Banque Centrale</w:t>
      </w:r>
      <w:r w:rsidRPr="00EB63CB">
        <w:rPr>
          <w:rFonts w:cs="Times New Roman"/>
          <w:szCs w:val="24"/>
        </w:rPr>
        <w:t>, ou libre soumis e</w:t>
      </w:r>
      <w:r>
        <w:rPr>
          <w:rFonts w:cs="Times New Roman"/>
          <w:szCs w:val="24"/>
        </w:rPr>
        <w:t>t</w:t>
      </w:r>
      <w:r w:rsidRPr="00EB63CB">
        <w:rPr>
          <w:rFonts w:cs="Times New Roman"/>
          <w:szCs w:val="24"/>
        </w:rPr>
        <w:t xml:space="preserve"> régi par la loi de l’offre et de la demande de liquidité.</w:t>
      </w:r>
    </w:p>
    <w:p w:rsidR="00EC2073" w:rsidRPr="00EB63CB" w:rsidRDefault="00EC2073" w:rsidP="00EC2073">
      <w:pPr>
        <w:rPr>
          <w:rFonts w:cs="Times New Roman"/>
          <w:szCs w:val="24"/>
        </w:rPr>
      </w:pPr>
      <w:r w:rsidRPr="00EB63CB">
        <w:rPr>
          <w:rFonts w:cs="Times New Roman"/>
          <w:szCs w:val="24"/>
        </w:rPr>
        <w:t>Les établissements de crédits disposent d’un compte inscrit au passif du bilan de l’Institut d’Emission qui permet d’eff</w:t>
      </w:r>
      <w:r>
        <w:rPr>
          <w:rFonts w:cs="Times New Roman"/>
          <w:szCs w:val="24"/>
        </w:rPr>
        <w:t>ectuer les règlements entre eux.</w:t>
      </w:r>
    </w:p>
    <w:p w:rsidR="00EC2073" w:rsidRPr="00EB63CB" w:rsidRDefault="00977420" w:rsidP="00EC2073">
      <w:pPr>
        <w:rPr>
          <w:rFonts w:cs="Times New Roman"/>
          <w:b/>
          <w:bCs/>
          <w:szCs w:val="24"/>
        </w:rPr>
      </w:pPr>
      <w:r>
        <w:rPr>
          <w:rFonts w:cs="Times New Roman"/>
          <w:b/>
          <w:bCs/>
          <w:szCs w:val="24"/>
        </w:rPr>
        <w:t xml:space="preserve">2.1.3 </w:t>
      </w:r>
      <w:r w:rsidR="00EC2073" w:rsidRPr="00EB63CB">
        <w:rPr>
          <w:rFonts w:cs="Times New Roman"/>
          <w:b/>
          <w:bCs/>
          <w:szCs w:val="24"/>
        </w:rPr>
        <w:t xml:space="preserve"> Placement sur le marché des titres négociables</w:t>
      </w:r>
      <w:r w:rsidR="00EC2073">
        <w:rPr>
          <w:rFonts w:cs="Times New Roman"/>
          <w:b/>
          <w:bCs/>
          <w:szCs w:val="24"/>
        </w:rPr>
        <w:t xml:space="preserve"> : </w:t>
      </w:r>
    </w:p>
    <w:p w:rsidR="00EC2073" w:rsidRPr="00EB63CB" w:rsidRDefault="00EC2073" w:rsidP="00EC2073">
      <w:pPr>
        <w:rPr>
          <w:rFonts w:cs="Times New Roman"/>
          <w:szCs w:val="24"/>
        </w:rPr>
      </w:pPr>
      <w:r w:rsidRPr="00EB63CB">
        <w:rPr>
          <w:rFonts w:cs="Times New Roman"/>
          <w:szCs w:val="24"/>
        </w:rPr>
        <w:t>Le marché des titres de créances négociables est le compartiment du marché monétaire où sont émis des titres au gré de l’émetteur négociable sur un marché règlementé, représent</w:t>
      </w:r>
      <w:r>
        <w:rPr>
          <w:rFonts w:cs="Times New Roman"/>
          <w:szCs w:val="24"/>
        </w:rPr>
        <w:t>ant</w:t>
      </w:r>
      <w:r w:rsidRPr="00EB63CB">
        <w:rPr>
          <w:rFonts w:cs="Times New Roman"/>
          <w:szCs w:val="24"/>
        </w:rPr>
        <w:t xml:space="preserve"> pour chacun un droit pour une durée bien déterminée.</w:t>
      </w:r>
    </w:p>
    <w:p w:rsidR="00EC2073" w:rsidRPr="00EB63CB" w:rsidRDefault="00EC2073" w:rsidP="00EC2073">
      <w:pPr>
        <w:rPr>
          <w:rFonts w:cs="Times New Roman"/>
          <w:szCs w:val="24"/>
        </w:rPr>
      </w:pPr>
      <w:r w:rsidRPr="00EB63CB">
        <w:rPr>
          <w:rFonts w:cs="Times New Roman"/>
          <w:szCs w:val="24"/>
        </w:rPr>
        <w:t>En Algérie, le marché des titres de créances négociables, appelé aussi marché de Valeur du Trésor est créée en 1995 et est réservé exclusivement au Trésor Public. Ce marché comporte deux compartiments</w:t>
      </w:r>
      <w:r w:rsidR="002D0857" w:rsidRPr="00EB63CB">
        <w:rPr>
          <w:rFonts w:cs="Times New Roman"/>
          <w:szCs w:val="24"/>
        </w:rPr>
        <w:t> </w:t>
      </w:r>
      <w:r w:rsidR="002D0857">
        <w:rPr>
          <w:rFonts w:cs="Times New Roman"/>
          <w:szCs w:val="24"/>
        </w:rPr>
        <w:t>;</w:t>
      </w:r>
      <w:r w:rsidRPr="00EB63CB">
        <w:rPr>
          <w:rFonts w:cs="Times New Roman"/>
          <w:szCs w:val="24"/>
        </w:rPr>
        <w:t xml:space="preserve"> un marché primaire réservé à l’émission des titres et un marché secondaire destiné à la transformation des titres en liquidité.</w:t>
      </w:r>
    </w:p>
    <w:p w:rsidR="00EC2073" w:rsidRPr="00EB63CB" w:rsidRDefault="00977420" w:rsidP="00CA6CC3">
      <w:pPr>
        <w:ind w:firstLine="0"/>
        <w:rPr>
          <w:rFonts w:cs="Times New Roman"/>
          <w:b/>
          <w:bCs/>
          <w:szCs w:val="24"/>
        </w:rPr>
      </w:pPr>
      <w:r>
        <w:rPr>
          <w:rFonts w:cs="Times New Roman"/>
          <w:b/>
          <w:bCs/>
          <w:szCs w:val="24"/>
        </w:rPr>
        <w:t xml:space="preserve">2.2 </w:t>
      </w:r>
      <w:r w:rsidR="00EC2073" w:rsidRPr="00EB63CB">
        <w:rPr>
          <w:rFonts w:cs="Times New Roman"/>
          <w:b/>
          <w:bCs/>
          <w:szCs w:val="24"/>
        </w:rPr>
        <w:t xml:space="preserve"> Gestion déléguée de l’excédent</w:t>
      </w:r>
      <w:r w:rsidR="00EC2073">
        <w:rPr>
          <w:rFonts w:cs="Times New Roman"/>
          <w:b/>
          <w:bCs/>
          <w:szCs w:val="24"/>
        </w:rPr>
        <w:t> :</w:t>
      </w:r>
    </w:p>
    <w:p w:rsidR="00EC2073" w:rsidRPr="00EB63CB" w:rsidRDefault="00EC2073" w:rsidP="00EC2073">
      <w:pPr>
        <w:ind w:firstLine="708"/>
        <w:rPr>
          <w:rFonts w:cs="Times New Roman"/>
          <w:szCs w:val="24"/>
        </w:rPr>
      </w:pPr>
      <w:r w:rsidRPr="00EB63CB">
        <w:rPr>
          <w:rFonts w:cs="Times New Roman"/>
          <w:szCs w:val="24"/>
        </w:rPr>
        <w:t xml:space="preserve">La gestion déléguée va s’effectuer sur le marché financier ou de change. Son principal avantage est de profiter de l’effet de masse. Enfin, le recours aux </w:t>
      </w:r>
      <w:r w:rsidRPr="00F34CD6">
        <w:rPr>
          <w:rFonts w:cs="Times New Roman"/>
          <w:szCs w:val="24"/>
        </w:rPr>
        <w:t>Organismes de Placement Collectif en Valeurs Mobilières</w:t>
      </w:r>
      <w:r>
        <w:rPr>
          <w:rFonts w:cs="Times New Roman"/>
          <w:b/>
          <w:bCs/>
          <w:szCs w:val="24"/>
        </w:rPr>
        <w:t>(</w:t>
      </w:r>
      <w:r w:rsidRPr="004B44E7">
        <w:rPr>
          <w:rFonts w:cs="Times New Roman"/>
          <w:szCs w:val="24"/>
        </w:rPr>
        <w:t>OPCVM)</w:t>
      </w:r>
      <w:r w:rsidRPr="00EB63CB">
        <w:rPr>
          <w:rFonts w:cs="Times New Roman"/>
          <w:szCs w:val="24"/>
        </w:rPr>
        <w:t xml:space="preserve"> permet la </w:t>
      </w:r>
      <w:r>
        <w:rPr>
          <w:rFonts w:cs="Times New Roman"/>
          <w:szCs w:val="24"/>
        </w:rPr>
        <w:t>répartition</w:t>
      </w:r>
      <w:r w:rsidRPr="00EB63CB">
        <w:rPr>
          <w:rFonts w:cs="Times New Roman"/>
          <w:szCs w:val="24"/>
        </w:rPr>
        <w:t xml:space="preserve"> des risques et une meilleure liquidité. </w:t>
      </w:r>
    </w:p>
    <w:p w:rsidR="00EC2073" w:rsidRPr="00EB63CB" w:rsidRDefault="00977420" w:rsidP="00EC2073">
      <w:pPr>
        <w:rPr>
          <w:rFonts w:cs="Times New Roman"/>
          <w:b/>
          <w:bCs/>
          <w:szCs w:val="24"/>
        </w:rPr>
      </w:pPr>
      <w:r>
        <w:rPr>
          <w:rFonts w:cs="Times New Roman"/>
          <w:b/>
          <w:bCs/>
          <w:szCs w:val="24"/>
        </w:rPr>
        <w:t>2.2.1</w:t>
      </w:r>
      <w:r w:rsidR="00EC2073" w:rsidRPr="00EB63CB">
        <w:rPr>
          <w:rFonts w:cs="Times New Roman"/>
          <w:b/>
          <w:bCs/>
          <w:szCs w:val="24"/>
        </w:rPr>
        <w:t xml:space="preserve"> Les parts émises par les Organismes de Placement Collectif en Valeurs Mobilières </w:t>
      </w:r>
    </w:p>
    <w:p w:rsidR="00EC2073" w:rsidRPr="00EB63CB" w:rsidRDefault="00EC2073" w:rsidP="00EC2073">
      <w:pPr>
        <w:ind w:firstLine="708"/>
        <w:rPr>
          <w:rFonts w:cs="Times New Roman"/>
          <w:szCs w:val="24"/>
        </w:rPr>
      </w:pPr>
      <w:r w:rsidRPr="00EB63CB">
        <w:rPr>
          <w:rFonts w:cs="Times New Roman"/>
          <w:szCs w:val="24"/>
        </w:rPr>
        <w:t xml:space="preserve">Selon Luc </w:t>
      </w:r>
      <w:proofErr w:type="spellStart"/>
      <w:r w:rsidRPr="00EB63CB">
        <w:rPr>
          <w:rFonts w:cs="Times New Roman"/>
          <w:szCs w:val="24"/>
        </w:rPr>
        <w:t>Bernet-Rollande</w:t>
      </w:r>
      <w:proofErr w:type="spellEnd"/>
      <w:r w:rsidRPr="00EB63CB">
        <w:rPr>
          <w:rStyle w:val="Appelnotedebasdep"/>
          <w:rFonts w:cs="Times New Roman"/>
          <w:szCs w:val="24"/>
        </w:rPr>
        <w:footnoteReference w:id="63"/>
      </w:r>
      <w:r w:rsidRPr="00EB63CB">
        <w:rPr>
          <w:rFonts w:cs="Times New Roman"/>
          <w:szCs w:val="24"/>
        </w:rPr>
        <w:t> ; les OPCVM regroupent deux grandes catégories : les Sociétés d’Investissement à Capital Variables (SICAV) et les Fonds Communs de Placements (FCP).</w:t>
      </w:r>
    </w:p>
    <w:p w:rsidR="00EC2073" w:rsidRPr="00EB63CB" w:rsidRDefault="00EC2073" w:rsidP="00EC2073">
      <w:pPr>
        <w:ind w:firstLine="708"/>
        <w:rPr>
          <w:rFonts w:cs="Times New Roman"/>
          <w:szCs w:val="24"/>
        </w:rPr>
      </w:pPr>
      <w:r w:rsidRPr="00EB63CB">
        <w:rPr>
          <w:rFonts w:cs="Times New Roman"/>
          <w:szCs w:val="24"/>
        </w:rPr>
        <w:t xml:space="preserve">Une SICAV est une société qui fonctionne comme une société anonyme, </w:t>
      </w:r>
      <w:r>
        <w:rPr>
          <w:rFonts w:cs="Times New Roman"/>
          <w:szCs w:val="24"/>
        </w:rPr>
        <w:t>ayant</w:t>
      </w:r>
      <w:r w:rsidRPr="00EB63CB">
        <w:rPr>
          <w:rFonts w:cs="Times New Roman"/>
          <w:szCs w:val="24"/>
        </w:rPr>
        <w:t xml:space="preserve"> pour objet la gestion d’un portefeuille de valeurs mobilières. Ceci implique l’existence d’un conseil </w:t>
      </w:r>
      <w:r w:rsidRPr="00EB63CB">
        <w:rPr>
          <w:rFonts w:cs="Times New Roman"/>
          <w:szCs w:val="24"/>
        </w:rPr>
        <w:lastRenderedPageBreak/>
        <w:t>d’administration et la tenue d</w:t>
      </w:r>
      <w:r>
        <w:rPr>
          <w:rFonts w:cs="Times New Roman"/>
          <w:szCs w:val="24"/>
        </w:rPr>
        <w:t xml:space="preserve">’une </w:t>
      </w:r>
      <w:r w:rsidRPr="00EB63CB">
        <w:rPr>
          <w:rFonts w:cs="Times New Roman"/>
          <w:szCs w:val="24"/>
        </w:rPr>
        <w:t>assemblé</w:t>
      </w:r>
      <w:r>
        <w:rPr>
          <w:rFonts w:cs="Times New Roman"/>
          <w:szCs w:val="24"/>
        </w:rPr>
        <w:t>e</w:t>
      </w:r>
      <w:r w:rsidRPr="00EB63CB">
        <w:rPr>
          <w:rFonts w:cs="Times New Roman"/>
          <w:szCs w:val="24"/>
        </w:rPr>
        <w:t xml:space="preserve"> générale. Les actions de </w:t>
      </w:r>
      <w:r>
        <w:rPr>
          <w:rFonts w:cs="Times New Roman"/>
          <w:szCs w:val="24"/>
        </w:rPr>
        <w:t xml:space="preserve">la </w:t>
      </w:r>
      <w:r w:rsidRPr="00EB63CB">
        <w:rPr>
          <w:rFonts w:cs="Times New Roman"/>
          <w:szCs w:val="24"/>
        </w:rPr>
        <w:t xml:space="preserve">SICAV sont émises et rachetées en permanences, </w:t>
      </w:r>
      <w:r>
        <w:rPr>
          <w:rFonts w:cs="Times New Roman"/>
          <w:szCs w:val="24"/>
        </w:rPr>
        <w:t>faisant</w:t>
      </w:r>
      <w:r w:rsidRPr="00EB63CB">
        <w:rPr>
          <w:rFonts w:cs="Times New Roman"/>
          <w:szCs w:val="24"/>
        </w:rPr>
        <w:t xml:space="preserve"> varier son capital.</w:t>
      </w:r>
    </w:p>
    <w:p w:rsidR="00EC2073" w:rsidRPr="00EB63CB" w:rsidRDefault="00EC2073" w:rsidP="00EC2073">
      <w:pPr>
        <w:ind w:firstLine="708"/>
        <w:rPr>
          <w:rFonts w:cs="Times New Roman"/>
          <w:szCs w:val="24"/>
        </w:rPr>
      </w:pPr>
      <w:r w:rsidRPr="00EB63CB">
        <w:rPr>
          <w:rFonts w:cs="Times New Roman"/>
          <w:szCs w:val="24"/>
        </w:rPr>
        <w:t>Le FCP se distingue de la SICAV par son statut juridique. Un FCP est une copropriété de valeurs mobilières qui émet des parts. Il n’a pas de personnalité morale. Chaque porteur de part dispose d’un droit de copropriété sur des actifs d</w:t>
      </w:r>
      <w:r>
        <w:rPr>
          <w:rFonts w:cs="Times New Roman"/>
          <w:szCs w:val="24"/>
        </w:rPr>
        <w:t>e</w:t>
      </w:r>
      <w:r w:rsidRPr="00EB63CB">
        <w:rPr>
          <w:rFonts w:cs="Times New Roman"/>
          <w:szCs w:val="24"/>
        </w:rPr>
        <w:t xml:space="preserve"> fonds, droit proportionnel au nombre de parts possédées. </w:t>
      </w:r>
    </w:p>
    <w:p w:rsidR="00EC2073" w:rsidRPr="00EB63CB" w:rsidRDefault="00977420" w:rsidP="00EC2073">
      <w:pPr>
        <w:rPr>
          <w:rFonts w:cs="Times New Roman"/>
          <w:b/>
          <w:bCs/>
          <w:szCs w:val="24"/>
        </w:rPr>
      </w:pPr>
      <w:r>
        <w:rPr>
          <w:rFonts w:cs="Times New Roman"/>
          <w:b/>
          <w:bCs/>
          <w:szCs w:val="24"/>
        </w:rPr>
        <w:t>2.2.2</w:t>
      </w:r>
      <w:r w:rsidR="006D4A27">
        <w:rPr>
          <w:rFonts w:cs="Times New Roman"/>
          <w:b/>
          <w:bCs/>
          <w:szCs w:val="24"/>
        </w:rPr>
        <w:t xml:space="preserve"> </w:t>
      </w:r>
      <w:r w:rsidR="00EC2073" w:rsidRPr="00EB63CB">
        <w:rPr>
          <w:rFonts w:cs="Times New Roman"/>
          <w:b/>
          <w:bCs/>
          <w:szCs w:val="24"/>
        </w:rPr>
        <w:t>Placement sur le marché de change</w:t>
      </w:r>
      <w:r w:rsidR="00EC2073">
        <w:rPr>
          <w:rFonts w:cs="Times New Roman"/>
          <w:b/>
          <w:bCs/>
          <w:szCs w:val="24"/>
        </w:rPr>
        <w:t xml:space="preserve"> : </w:t>
      </w:r>
    </w:p>
    <w:p w:rsidR="00EC2073" w:rsidRPr="00EB63CB" w:rsidRDefault="00EC2073" w:rsidP="00EC2073">
      <w:pPr>
        <w:ind w:firstLine="708"/>
        <w:rPr>
          <w:rFonts w:cs="Times New Roman"/>
          <w:szCs w:val="24"/>
        </w:rPr>
      </w:pPr>
      <w:r w:rsidRPr="00EB63CB">
        <w:rPr>
          <w:rFonts w:cs="Times New Roman"/>
          <w:szCs w:val="24"/>
        </w:rPr>
        <w:t>Le marché des changes (</w:t>
      </w:r>
      <w:proofErr w:type="spellStart"/>
      <w:r w:rsidRPr="00EB63CB">
        <w:rPr>
          <w:rFonts w:cs="Times New Roman"/>
          <w:szCs w:val="24"/>
        </w:rPr>
        <w:t>Foreign</w:t>
      </w:r>
      <w:proofErr w:type="spellEnd"/>
      <w:r w:rsidRPr="00EB63CB">
        <w:rPr>
          <w:rFonts w:cs="Times New Roman"/>
          <w:szCs w:val="24"/>
        </w:rPr>
        <w:t xml:space="preserve"> Exchange ou FOREX </w:t>
      </w:r>
      <w:r>
        <w:rPr>
          <w:rFonts w:cs="Times New Roman"/>
          <w:szCs w:val="24"/>
        </w:rPr>
        <w:t>dans le</w:t>
      </w:r>
      <w:r w:rsidR="00606E47">
        <w:rPr>
          <w:rFonts w:cs="Times New Roman"/>
          <w:szCs w:val="24"/>
        </w:rPr>
        <w:t xml:space="preserve"> </w:t>
      </w:r>
      <w:r>
        <w:rPr>
          <w:rFonts w:cs="Times New Roman"/>
          <w:szCs w:val="24"/>
        </w:rPr>
        <w:t xml:space="preserve">langage </w:t>
      </w:r>
      <w:r w:rsidRPr="00EB63CB">
        <w:rPr>
          <w:rFonts w:cs="Times New Roman"/>
          <w:szCs w:val="24"/>
        </w:rPr>
        <w:t xml:space="preserve">anglo-américain) est le marché sur lequel s’échangent les devises les unes contre les autres. C’est le plus important marché financier au monde avec </w:t>
      </w:r>
      <w:r>
        <w:rPr>
          <w:rFonts w:cs="Times New Roman"/>
          <w:szCs w:val="24"/>
        </w:rPr>
        <w:t>des</w:t>
      </w:r>
      <w:r w:rsidRPr="00EB63CB">
        <w:rPr>
          <w:rFonts w:cs="Times New Roman"/>
          <w:szCs w:val="24"/>
        </w:rPr>
        <w:t xml:space="preserve"> volumes d’échanges quotidiens dépass</w:t>
      </w:r>
      <w:r>
        <w:rPr>
          <w:rFonts w:cs="Times New Roman"/>
          <w:szCs w:val="24"/>
        </w:rPr>
        <w:t>a</w:t>
      </w:r>
      <w:r w:rsidRPr="00EB63CB">
        <w:rPr>
          <w:rFonts w:cs="Times New Roman"/>
          <w:szCs w:val="24"/>
        </w:rPr>
        <w:t>nt</w:t>
      </w:r>
      <w:r>
        <w:rPr>
          <w:rFonts w:cs="Times New Roman"/>
          <w:szCs w:val="24"/>
        </w:rPr>
        <w:t>s</w:t>
      </w:r>
      <w:r w:rsidRPr="00EB63CB">
        <w:rPr>
          <w:rFonts w:cs="Times New Roman"/>
          <w:szCs w:val="24"/>
        </w:rPr>
        <w:t xml:space="preserve"> 1500 </w:t>
      </w:r>
      <w:r>
        <w:rPr>
          <w:rFonts w:cs="Times New Roman"/>
          <w:szCs w:val="24"/>
        </w:rPr>
        <w:t>Mds</w:t>
      </w:r>
      <w:r w:rsidRPr="00EB63CB">
        <w:rPr>
          <w:rFonts w:cs="Times New Roman"/>
          <w:szCs w:val="24"/>
        </w:rPr>
        <w:t xml:space="preserve"> de </w:t>
      </w:r>
      <w:r>
        <w:rPr>
          <w:rFonts w:cs="Times New Roman"/>
          <w:szCs w:val="24"/>
        </w:rPr>
        <w:t>Dollars</w:t>
      </w:r>
      <w:r w:rsidRPr="00EB63CB">
        <w:rPr>
          <w:rFonts w:cs="Times New Roman"/>
          <w:szCs w:val="24"/>
        </w:rPr>
        <w:t>.</w:t>
      </w:r>
      <w:r w:rsidR="00606E47">
        <w:rPr>
          <w:rFonts w:cs="Times New Roman"/>
          <w:szCs w:val="24"/>
        </w:rPr>
        <w:t xml:space="preserve"> </w:t>
      </w:r>
      <w:r w:rsidRPr="00EB63CB">
        <w:rPr>
          <w:rFonts w:cs="Times New Roman"/>
          <w:szCs w:val="24"/>
        </w:rPr>
        <w:t>Sur le marché de change, les banques peuvent intervenir par le biais des cambistes et des courtiers.</w:t>
      </w:r>
    </w:p>
    <w:p w:rsidR="006023F3" w:rsidRDefault="006023F3" w:rsidP="00637BB8">
      <w:pPr>
        <w:pStyle w:val="Titre1"/>
        <w:rPr>
          <w:rFonts w:eastAsia="Calibri"/>
          <w:lang w:eastAsia="en-US"/>
        </w:rPr>
      </w:pPr>
    </w:p>
    <w:p w:rsidR="006023F3" w:rsidRDefault="006023F3" w:rsidP="00637BB8">
      <w:pPr>
        <w:pStyle w:val="Titre1"/>
        <w:rPr>
          <w:rFonts w:eastAsia="Calibri"/>
          <w:lang w:eastAsia="en-US"/>
        </w:rPr>
      </w:pPr>
    </w:p>
    <w:p w:rsidR="006023F3" w:rsidRDefault="006023F3" w:rsidP="00637BB8">
      <w:pPr>
        <w:pStyle w:val="Titre1"/>
        <w:rPr>
          <w:rFonts w:eastAsia="Calibri"/>
          <w:lang w:eastAsia="en-US"/>
        </w:rPr>
      </w:pPr>
    </w:p>
    <w:p w:rsidR="006023F3" w:rsidRDefault="006023F3" w:rsidP="00637BB8">
      <w:pPr>
        <w:pStyle w:val="Titre1"/>
        <w:rPr>
          <w:rFonts w:eastAsia="Calibri"/>
          <w:lang w:eastAsia="en-US"/>
        </w:rPr>
      </w:pPr>
    </w:p>
    <w:p w:rsidR="006023F3" w:rsidRDefault="006023F3" w:rsidP="00637BB8">
      <w:pPr>
        <w:pStyle w:val="Titre1"/>
        <w:rPr>
          <w:rFonts w:eastAsia="Calibri"/>
          <w:lang w:eastAsia="en-US"/>
        </w:rPr>
      </w:pPr>
    </w:p>
    <w:p w:rsidR="006023F3" w:rsidRDefault="006023F3" w:rsidP="00637BB8">
      <w:pPr>
        <w:pStyle w:val="Titre1"/>
        <w:rPr>
          <w:rFonts w:eastAsia="Calibri"/>
          <w:lang w:eastAsia="en-US"/>
        </w:rPr>
      </w:pPr>
    </w:p>
    <w:p w:rsidR="006023F3" w:rsidRDefault="006023F3" w:rsidP="00637BB8">
      <w:pPr>
        <w:pStyle w:val="Titre1"/>
        <w:rPr>
          <w:rFonts w:eastAsia="Calibri"/>
          <w:lang w:eastAsia="en-US"/>
        </w:rPr>
      </w:pPr>
    </w:p>
    <w:p w:rsidR="00CA15FD" w:rsidRDefault="00CA15FD" w:rsidP="00637BB8">
      <w:pPr>
        <w:pStyle w:val="Titre1"/>
        <w:rPr>
          <w:rFonts w:eastAsia="Calibri"/>
          <w:lang w:eastAsia="en-US"/>
        </w:rPr>
      </w:pPr>
    </w:p>
    <w:p w:rsidR="00CA15FD" w:rsidRDefault="00CA15FD" w:rsidP="00637BB8">
      <w:pPr>
        <w:pStyle w:val="Titre1"/>
        <w:rPr>
          <w:rFonts w:eastAsia="Calibri"/>
          <w:lang w:eastAsia="en-US"/>
        </w:rPr>
      </w:pPr>
    </w:p>
    <w:p w:rsidR="00CA15FD" w:rsidRDefault="00CA15FD" w:rsidP="00637BB8">
      <w:pPr>
        <w:pStyle w:val="Titre1"/>
        <w:rPr>
          <w:rFonts w:eastAsia="Calibri"/>
          <w:lang w:eastAsia="en-US"/>
        </w:rPr>
      </w:pPr>
    </w:p>
    <w:p w:rsidR="00CA15FD" w:rsidRDefault="00CA15FD" w:rsidP="00637BB8">
      <w:pPr>
        <w:pStyle w:val="Titre1"/>
        <w:rPr>
          <w:rFonts w:eastAsia="Calibri"/>
          <w:lang w:eastAsia="en-US"/>
        </w:rPr>
      </w:pPr>
    </w:p>
    <w:p w:rsidR="002D0857" w:rsidRPr="002D0857" w:rsidRDefault="002D0857" w:rsidP="00637BB8">
      <w:pPr>
        <w:pStyle w:val="Titre1"/>
        <w:rPr>
          <w:rFonts w:eastAsia="Calibri"/>
          <w:lang w:eastAsia="en-US"/>
        </w:rPr>
      </w:pPr>
      <w:bookmarkStart w:id="118" w:name="_Toc431980050"/>
      <w:r w:rsidRPr="002D0857">
        <w:rPr>
          <w:rFonts w:eastAsia="Calibri"/>
          <w:lang w:eastAsia="en-US"/>
        </w:rPr>
        <w:lastRenderedPageBreak/>
        <w:t>Conclusion :</w:t>
      </w:r>
      <w:bookmarkEnd w:id="118"/>
    </w:p>
    <w:p w:rsidR="00265BC1" w:rsidRPr="00265BC1" w:rsidRDefault="00265BC1" w:rsidP="00D622AF">
      <w:pPr>
        <w:rPr>
          <w:rFonts w:eastAsia="Calibri" w:cs="Times New Roman"/>
          <w:szCs w:val="24"/>
          <w:lang w:eastAsia="en-US"/>
        </w:rPr>
      </w:pPr>
      <w:r w:rsidRPr="00265BC1">
        <w:rPr>
          <w:rFonts w:eastAsia="Calibri" w:cs="Times New Roman"/>
          <w:szCs w:val="24"/>
          <w:lang w:eastAsia="en-US"/>
        </w:rPr>
        <w:t>Après avoir confirmé l’existence de la surliquidité bancaire en Algérie</w:t>
      </w:r>
      <w:r w:rsidR="00D622AF">
        <w:rPr>
          <w:rFonts w:eastAsia="Calibri" w:cs="Times New Roman"/>
          <w:szCs w:val="24"/>
          <w:lang w:eastAsia="en-US"/>
        </w:rPr>
        <w:t xml:space="preserve"> dans le chapitre précédent</w:t>
      </w:r>
      <w:r w:rsidRPr="00265BC1">
        <w:rPr>
          <w:rFonts w:eastAsia="Calibri" w:cs="Times New Roman"/>
          <w:szCs w:val="24"/>
          <w:lang w:eastAsia="en-US"/>
        </w:rPr>
        <w:t>, nous avons tenté</w:t>
      </w:r>
      <w:r w:rsidR="00D622AF">
        <w:rPr>
          <w:rFonts w:eastAsia="Calibri" w:cs="Times New Roman"/>
          <w:szCs w:val="24"/>
          <w:lang w:eastAsia="en-US"/>
        </w:rPr>
        <w:t>, dans ce chapitre,</w:t>
      </w:r>
      <w:r w:rsidRPr="00265BC1">
        <w:rPr>
          <w:rFonts w:eastAsia="Calibri" w:cs="Times New Roman"/>
          <w:szCs w:val="24"/>
          <w:lang w:eastAsia="en-US"/>
        </w:rPr>
        <w:t xml:space="preserve"> de mettre l’accent sur les différents facteurs qui l’influencent. Ainsi, il en ressort  que  l’évolution rapide  des ressources et de la masse monétaire, l’</w:t>
      </w:r>
      <w:r w:rsidRPr="00265BC1">
        <w:rPr>
          <w:rFonts w:cs="Times New Roman"/>
          <w:szCs w:val="24"/>
        </w:rPr>
        <w:t>Assainissement et la recapitalisation du secteur bancaire,</w:t>
      </w:r>
      <w:r w:rsidRPr="00265BC1">
        <w:rPr>
          <w:rFonts w:eastAsia="Calibri" w:cs="Times New Roman"/>
          <w:szCs w:val="24"/>
          <w:lang w:eastAsia="en-US"/>
        </w:rPr>
        <w:t xml:space="preserve"> sont les principaux facteurs à l’origine de la surliquidité bancaire en Algérie.</w:t>
      </w:r>
    </w:p>
    <w:p w:rsidR="00265BC1" w:rsidRPr="00265BC1" w:rsidRDefault="00265BC1" w:rsidP="00D622AF">
      <w:pPr>
        <w:spacing w:before="0" w:after="200"/>
        <w:ind w:firstLine="708"/>
        <w:rPr>
          <w:rFonts w:eastAsia="Calibri" w:cs="Times New Roman"/>
          <w:szCs w:val="24"/>
          <w:lang w:eastAsia="en-US"/>
        </w:rPr>
      </w:pPr>
      <w:r w:rsidRPr="00265BC1">
        <w:rPr>
          <w:rFonts w:eastAsia="Calibri" w:cs="Times New Roman"/>
          <w:szCs w:val="24"/>
          <w:lang w:eastAsia="en-US"/>
        </w:rPr>
        <w:t xml:space="preserve">Dans le but de réduire les déséquilibres impliqués par cette liquidité abondante, les autorités monétaires ont opté pour les instruments de la politique monétaire, à savoir, les réserves obligatoires, la reprise de liquidité et la facilité de dépôt, et le surplus d’argents qui se trouve dans les banques a été gérer par deux méthodes adoptées par  la Banque d’Algérie, et qui ont tenté une meilleure répartition la liquidité massive, notamment, la gestion directe et la gestion déléguée. </w:t>
      </w:r>
    </w:p>
    <w:p w:rsidR="00D622AF" w:rsidRDefault="00265BC1" w:rsidP="00D622AF">
      <w:pPr>
        <w:spacing w:before="0" w:after="200"/>
        <w:ind w:firstLine="708"/>
        <w:rPr>
          <w:szCs w:val="24"/>
        </w:rPr>
      </w:pPr>
      <w:r w:rsidRPr="00265BC1">
        <w:rPr>
          <w:rFonts w:eastAsia="Calibri" w:cs="Times New Roman"/>
          <w:szCs w:val="24"/>
          <w:lang w:eastAsia="en-US"/>
        </w:rPr>
        <w:t>Ces politiques et méthodes de gestion ont visé beaucoup plus la stérilisation de l’effet de cet excès monétaire, afin de maîtriser l’inflation, sans pour autant favoriser l’emploi de ce surplus pour créer davantage de richesses économiques. D</w:t>
      </w:r>
      <w:r w:rsidRPr="00265BC1">
        <w:rPr>
          <w:szCs w:val="24"/>
        </w:rPr>
        <w:t>onc la deuxième hypothèse posée se confirme. La politique monétaire n’a fait que réduire la surliquidité au niveau des banques, et sa disparition en fin 2014 revient à la chute du prix du baril et non pas à l’efficacité de la réaction des autorités monétaires.</w:t>
      </w:r>
    </w:p>
    <w:p w:rsidR="00265BC1" w:rsidRPr="00265BC1" w:rsidRDefault="00265BC1" w:rsidP="00D622AF">
      <w:pPr>
        <w:spacing w:before="0" w:after="200"/>
        <w:ind w:firstLine="708"/>
        <w:rPr>
          <w:b/>
          <w:bCs/>
          <w:szCs w:val="24"/>
        </w:rPr>
        <w:sectPr w:rsidR="00265BC1" w:rsidRPr="00265BC1" w:rsidSect="001D03CE">
          <w:headerReference w:type="default" r:id="rId34"/>
          <w:pgSz w:w="11906" w:h="16838"/>
          <w:pgMar w:top="421" w:right="1417" w:bottom="1417" w:left="1417" w:header="899" w:footer="708" w:gutter="0"/>
          <w:cols w:space="708"/>
          <w:docGrid w:linePitch="360"/>
        </w:sectPr>
      </w:pPr>
    </w:p>
    <w:p w:rsidR="00EC2073" w:rsidRPr="00F203CB" w:rsidRDefault="00EC2073" w:rsidP="00F203CB">
      <w:pPr>
        <w:pStyle w:val="Titre1"/>
        <w:jc w:val="left"/>
        <w:rPr>
          <w:szCs w:val="28"/>
        </w:rPr>
      </w:pPr>
      <w:bookmarkStart w:id="119" w:name="_Toc431980051"/>
      <w:r w:rsidRPr="00F203CB">
        <w:rPr>
          <w:szCs w:val="28"/>
        </w:rPr>
        <w:lastRenderedPageBreak/>
        <w:t>Conclusion générale</w:t>
      </w:r>
      <w:bookmarkEnd w:id="119"/>
    </w:p>
    <w:p w:rsidR="00EC2073" w:rsidRPr="00BC7AF1" w:rsidRDefault="00EC2073" w:rsidP="00EC2073">
      <w:pPr>
        <w:rPr>
          <w:rFonts w:cs="Times New Roman"/>
          <w:szCs w:val="24"/>
        </w:rPr>
      </w:pPr>
      <w:r w:rsidRPr="00BC7AF1">
        <w:rPr>
          <w:rFonts w:cs="Times New Roman"/>
          <w:szCs w:val="24"/>
        </w:rPr>
        <w:t>Au terme de cette présente étude, nous constatons que la restructuration du système bancaire algérien et les réformes engagées dans ce sens n’ont pas abouti à confectionner un schéma de financement cohérent de l’économie.</w:t>
      </w:r>
    </w:p>
    <w:p w:rsidR="00EC2073" w:rsidRPr="00BC7AF1" w:rsidRDefault="00EC2073" w:rsidP="00EC2073">
      <w:r w:rsidRPr="00BC7AF1">
        <w:t>La loi de 90</w:t>
      </w:r>
      <w:r>
        <w:t>/</w:t>
      </w:r>
      <w:r w:rsidRPr="00BC7AF1">
        <w:t xml:space="preserve">10 du 14 Avril 1990 relative à la monnaie et au crédit est la première loi qui s’intéresse à l’organisation de </w:t>
      </w:r>
      <w:r>
        <w:t>l</w:t>
      </w:r>
      <w:r w:rsidRPr="00BC7AF1">
        <w:t>‘intermédiation financière et au développement d’un marché de capitaux transitant vers une économie de marché</w:t>
      </w:r>
      <w:r>
        <w:t xml:space="preserve">. </w:t>
      </w:r>
    </w:p>
    <w:p w:rsidR="00EC2073" w:rsidRPr="00BC7AF1" w:rsidRDefault="00EC2073" w:rsidP="00EC2073">
      <w:r w:rsidRPr="00BC7AF1">
        <w:t>L’injection massive de liquidité par le Trésor par le biais de la recapitalisation et l’assainissement du portefeuille des banques</w:t>
      </w:r>
      <w:r w:rsidR="00D622AF">
        <w:t>, durant la dernière décennie,</w:t>
      </w:r>
      <w:r w:rsidRPr="00BC7AF1">
        <w:t xml:space="preserve"> a permis </w:t>
      </w:r>
      <w:r>
        <w:t>à</w:t>
      </w:r>
      <w:r w:rsidRPr="00BC7AF1">
        <w:t xml:space="preserve"> ces dernières de disposer de liquidités abondantes, mais conséquentes puisqu</w:t>
      </w:r>
      <w:r>
        <w:t>‘</w:t>
      </w:r>
      <w:r w:rsidRPr="00BC7AF1">
        <w:t>elles n’arrivent pas à assumer un rôle actif dans l’intermédiation financière en raison de la modicité des crédits accordés au secteur productif de l’économie.</w:t>
      </w:r>
    </w:p>
    <w:p w:rsidR="00560EF3" w:rsidRDefault="00754765" w:rsidP="00560EF3">
      <w:r>
        <w:t>L</w:t>
      </w:r>
      <w:r w:rsidR="00EC2073" w:rsidRPr="00BC7AF1">
        <w:t>’excédent des ressources s</w:t>
      </w:r>
      <w:r w:rsidR="00D622AF">
        <w:t>ur les emplois des banques</w:t>
      </w:r>
      <w:r>
        <w:t xml:space="preserve"> est conséquent à l’augmentation du prix du baril sur le marché international. Cela fait du </w:t>
      </w:r>
      <w:r w:rsidR="00EC2073" w:rsidRPr="00BC7AF1">
        <w:t xml:space="preserve">phénomène de « surliquidité » </w:t>
      </w:r>
      <w:r>
        <w:t xml:space="preserve">un effet structurel et cyclique pour l’économie algérienne. </w:t>
      </w:r>
    </w:p>
    <w:p w:rsidR="00EC2073" w:rsidRPr="001D31B0" w:rsidRDefault="00560EF3" w:rsidP="00560EF3">
      <w:r w:rsidRPr="001D31B0">
        <w:t xml:space="preserve">Cet excédent à fait l’objet de </w:t>
      </w:r>
      <w:r w:rsidR="00EC2073" w:rsidRPr="001D31B0">
        <w:t xml:space="preserve">placements sur </w:t>
      </w:r>
      <w:r w:rsidRPr="001D31B0">
        <w:t xml:space="preserve">le compartiment </w:t>
      </w:r>
      <w:r w:rsidR="00176706">
        <w:t>« </w:t>
      </w:r>
      <w:r w:rsidRPr="001D31B0">
        <w:t>marché à terme</w:t>
      </w:r>
      <w:r w:rsidR="00176706">
        <w:t> »</w:t>
      </w:r>
      <w:r w:rsidRPr="001D31B0">
        <w:t xml:space="preserve">, </w:t>
      </w:r>
      <w:r w:rsidR="00EC2073" w:rsidRPr="001D31B0">
        <w:t xml:space="preserve"> au lieu d’être orienté vers le financement</w:t>
      </w:r>
      <w:r w:rsidRPr="001D31B0">
        <w:t xml:space="preserve"> de l’investissement productif</w:t>
      </w:r>
      <w:r w:rsidR="00EC2073" w:rsidRPr="001D31B0">
        <w:t xml:space="preserve"> et répondre</w:t>
      </w:r>
      <w:r w:rsidRPr="001D31B0">
        <w:t xml:space="preserve"> ainsi</w:t>
      </w:r>
      <w:r w:rsidR="00EC2073" w:rsidRPr="001D31B0">
        <w:t xml:space="preserve"> aux besoins de crédits exprimés par le secteur économique.</w:t>
      </w:r>
    </w:p>
    <w:p w:rsidR="00EC2073" w:rsidRDefault="00560EF3" w:rsidP="001D31B0">
      <w:r w:rsidRPr="001D31B0">
        <w:t xml:space="preserve">De plus, </w:t>
      </w:r>
      <w:r w:rsidR="00EC2073" w:rsidRPr="001D31B0">
        <w:t>cette situation structurelle de s</w:t>
      </w:r>
      <w:r w:rsidRPr="001D31B0">
        <w:t>urliquidité bancaire a amené</w:t>
      </w:r>
      <w:r w:rsidR="00EC2073" w:rsidRPr="001D31B0">
        <w:t xml:space="preserve"> les autorités</w:t>
      </w:r>
      <w:r w:rsidR="00EC2073" w:rsidRPr="00BC7AF1">
        <w:t xml:space="preserve"> monétaires algériennes </w:t>
      </w:r>
      <w:r>
        <w:t xml:space="preserve">à intervenir </w:t>
      </w:r>
      <w:r w:rsidR="00EC2073" w:rsidRPr="00BC7AF1">
        <w:t>par le biais de trois instruments (réserves obligatoires, reprise de liquidité et facilité de dépôts), et ont pu absorber</w:t>
      </w:r>
      <w:r w:rsidR="001D31B0">
        <w:t xml:space="preserve"> et stériliser</w:t>
      </w:r>
      <w:r w:rsidR="00EC2073" w:rsidRPr="00BC7AF1">
        <w:t xml:space="preserve"> une</w:t>
      </w:r>
      <w:r>
        <w:t xml:space="preserve"> partie importante de cet excès. </w:t>
      </w:r>
    </w:p>
    <w:p w:rsidR="001D31B0" w:rsidRPr="00BC7AF1" w:rsidRDefault="001D31B0" w:rsidP="001D31B0">
      <w:r>
        <w:t>La question que nous pouvons poser à la fin de ce travail est celle de savoir comment faire de sorte que si le prix du baril augmentera dans futur pour que l’excès de liquidité soit orienté plus vers le financement de l’investissement productif  hors hydrocarbures ?</w:t>
      </w:r>
    </w:p>
    <w:p w:rsidR="00793A08" w:rsidRDefault="00793A08" w:rsidP="00EC2073">
      <w:pPr>
        <w:pStyle w:val="Titre1"/>
        <w:sectPr w:rsidR="00793A08" w:rsidSect="007F0DAB">
          <w:headerReference w:type="default" r:id="rId35"/>
          <w:footerReference w:type="default" r:id="rId36"/>
          <w:type w:val="oddPage"/>
          <w:pgSz w:w="11906" w:h="16838"/>
          <w:pgMar w:top="421" w:right="1417" w:bottom="1417" w:left="1417" w:header="899" w:footer="708" w:gutter="0"/>
          <w:pgNumType w:start="70"/>
          <w:cols w:space="708"/>
          <w:docGrid w:linePitch="360"/>
        </w:sectPr>
      </w:pPr>
    </w:p>
    <w:p w:rsidR="00AF7273" w:rsidRDefault="0088013E" w:rsidP="001D03CE">
      <w:pPr>
        <w:ind w:firstLine="0"/>
        <w:jc w:val="center"/>
        <w:rPr>
          <w:rFonts w:asciiTheme="majorBidi" w:hAnsiTheme="majorBidi" w:cstheme="majorBidi"/>
          <w:b/>
          <w:bCs/>
          <w:sz w:val="48"/>
          <w:szCs w:val="48"/>
        </w:rPr>
        <w:sectPr w:rsidR="00AF7273" w:rsidSect="007F0DAB">
          <w:headerReference w:type="default" r:id="rId37"/>
          <w:footerReference w:type="default" r:id="rId38"/>
          <w:type w:val="oddPage"/>
          <w:pgSz w:w="11906" w:h="16838"/>
          <w:pgMar w:top="421" w:right="1417" w:bottom="1417" w:left="1417" w:header="899" w:footer="708" w:gutter="0"/>
          <w:pgNumType w:start="71"/>
          <w:cols w:space="708"/>
          <w:docGrid w:linePitch="360"/>
        </w:sectPr>
      </w:pPr>
      <w:r>
        <w:rPr>
          <w:rFonts w:asciiTheme="majorBidi" w:hAnsiTheme="majorBidi" w:cstheme="majorBidi"/>
          <w:b/>
          <w:bCs/>
          <w:noProof/>
          <w:sz w:val="48"/>
          <w:szCs w:val="48"/>
        </w:rPr>
        <w:lastRenderedPageBreak/>
        <w:drawing>
          <wp:inline distT="0" distB="0" distL="0" distR="0" wp14:anchorId="581407FC" wp14:editId="13834084">
            <wp:extent cx="5760720" cy="7920990"/>
            <wp:effectExtent l="19050" t="0" r="0" b="0"/>
            <wp:docPr id="3" name="Image 3" descr="F:\mm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mmm\1.jpg"/>
                    <pic:cNvPicPr>
                      <a:picLocks noChangeAspect="1" noChangeArrowheads="1"/>
                    </pic:cNvPicPr>
                  </pic:nvPicPr>
                  <pic:blipFill>
                    <a:blip r:embed="rId39"/>
                    <a:srcRect/>
                    <a:stretch>
                      <a:fillRect/>
                    </a:stretch>
                  </pic:blipFill>
                  <pic:spPr bwMode="auto">
                    <a:xfrm>
                      <a:off x="0" y="0"/>
                      <a:ext cx="5760720" cy="7920990"/>
                    </a:xfrm>
                    <a:prstGeom prst="rect">
                      <a:avLst/>
                    </a:prstGeom>
                    <a:noFill/>
                    <a:ln w="9525">
                      <a:noFill/>
                      <a:miter lim="800000"/>
                      <a:headEnd/>
                      <a:tailEnd/>
                    </a:ln>
                  </pic:spPr>
                </pic:pic>
              </a:graphicData>
            </a:graphic>
          </wp:inline>
        </w:drawing>
      </w:r>
    </w:p>
    <w:p w:rsidR="00AF7273" w:rsidRDefault="0088013E" w:rsidP="001D03CE">
      <w:pPr>
        <w:ind w:firstLine="0"/>
        <w:jc w:val="center"/>
        <w:rPr>
          <w:rFonts w:asciiTheme="majorBidi" w:hAnsiTheme="majorBidi" w:cstheme="majorBidi"/>
          <w:b/>
          <w:bCs/>
          <w:sz w:val="48"/>
          <w:szCs w:val="48"/>
        </w:rPr>
        <w:sectPr w:rsidR="00AF7273" w:rsidSect="007F0DAB">
          <w:headerReference w:type="default" r:id="rId40"/>
          <w:footerReference w:type="default" r:id="rId41"/>
          <w:pgSz w:w="11906" w:h="16838"/>
          <w:pgMar w:top="421" w:right="1417" w:bottom="1417" w:left="1417" w:header="899" w:footer="708" w:gutter="0"/>
          <w:pgNumType w:start="72"/>
          <w:cols w:space="708"/>
          <w:docGrid w:linePitch="360"/>
        </w:sectPr>
      </w:pPr>
      <w:r>
        <w:rPr>
          <w:rFonts w:asciiTheme="majorBidi" w:hAnsiTheme="majorBidi" w:cstheme="majorBidi"/>
          <w:b/>
          <w:bCs/>
          <w:noProof/>
          <w:sz w:val="48"/>
          <w:szCs w:val="48"/>
        </w:rPr>
        <w:lastRenderedPageBreak/>
        <w:drawing>
          <wp:inline distT="0" distB="0" distL="0" distR="0" wp14:anchorId="2D4EC5FF" wp14:editId="420E8A66">
            <wp:extent cx="5760720" cy="7920990"/>
            <wp:effectExtent l="19050" t="0" r="0" b="0"/>
            <wp:docPr id="4" name="Image 4" descr="F:\mmm\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mmm\2.jpg"/>
                    <pic:cNvPicPr>
                      <a:picLocks noChangeAspect="1" noChangeArrowheads="1"/>
                    </pic:cNvPicPr>
                  </pic:nvPicPr>
                  <pic:blipFill>
                    <a:blip r:embed="rId42"/>
                    <a:srcRect/>
                    <a:stretch>
                      <a:fillRect/>
                    </a:stretch>
                  </pic:blipFill>
                  <pic:spPr bwMode="auto">
                    <a:xfrm>
                      <a:off x="0" y="0"/>
                      <a:ext cx="5760720" cy="7920990"/>
                    </a:xfrm>
                    <a:prstGeom prst="rect">
                      <a:avLst/>
                    </a:prstGeom>
                    <a:noFill/>
                    <a:ln w="9525">
                      <a:noFill/>
                      <a:miter lim="800000"/>
                      <a:headEnd/>
                      <a:tailEnd/>
                    </a:ln>
                  </pic:spPr>
                </pic:pic>
              </a:graphicData>
            </a:graphic>
          </wp:inline>
        </w:drawing>
      </w:r>
    </w:p>
    <w:p w:rsidR="00AF7273" w:rsidRDefault="0088013E" w:rsidP="001D03CE">
      <w:pPr>
        <w:ind w:firstLine="0"/>
        <w:jc w:val="center"/>
        <w:rPr>
          <w:rFonts w:asciiTheme="majorBidi" w:hAnsiTheme="majorBidi" w:cstheme="majorBidi"/>
          <w:b/>
          <w:bCs/>
          <w:sz w:val="48"/>
          <w:szCs w:val="48"/>
        </w:rPr>
        <w:sectPr w:rsidR="00AF7273" w:rsidSect="00AF7273">
          <w:footerReference w:type="default" r:id="rId43"/>
          <w:pgSz w:w="11906" w:h="16838"/>
          <w:pgMar w:top="421" w:right="1417" w:bottom="1417" w:left="1417" w:header="899" w:footer="708" w:gutter="0"/>
          <w:cols w:space="708"/>
          <w:docGrid w:linePitch="360"/>
        </w:sectPr>
      </w:pPr>
      <w:r>
        <w:rPr>
          <w:rFonts w:asciiTheme="majorBidi" w:hAnsiTheme="majorBidi" w:cstheme="majorBidi"/>
          <w:b/>
          <w:bCs/>
          <w:noProof/>
          <w:sz w:val="48"/>
          <w:szCs w:val="48"/>
        </w:rPr>
        <w:lastRenderedPageBreak/>
        <w:drawing>
          <wp:inline distT="0" distB="0" distL="0" distR="0" wp14:anchorId="42E03ED3" wp14:editId="2FD70157">
            <wp:extent cx="5760720" cy="7920990"/>
            <wp:effectExtent l="19050" t="0" r="0" b="0"/>
            <wp:docPr id="2" name="Image 5" descr="F:\mmm\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mmm\3.jpg"/>
                    <pic:cNvPicPr>
                      <a:picLocks noChangeAspect="1" noChangeArrowheads="1"/>
                    </pic:cNvPicPr>
                  </pic:nvPicPr>
                  <pic:blipFill>
                    <a:blip r:embed="rId44"/>
                    <a:srcRect/>
                    <a:stretch>
                      <a:fillRect/>
                    </a:stretch>
                  </pic:blipFill>
                  <pic:spPr bwMode="auto">
                    <a:xfrm>
                      <a:off x="0" y="0"/>
                      <a:ext cx="5760720" cy="7920990"/>
                    </a:xfrm>
                    <a:prstGeom prst="rect">
                      <a:avLst/>
                    </a:prstGeom>
                    <a:noFill/>
                    <a:ln w="9525">
                      <a:noFill/>
                      <a:miter lim="800000"/>
                      <a:headEnd/>
                      <a:tailEnd/>
                    </a:ln>
                  </pic:spPr>
                </pic:pic>
              </a:graphicData>
            </a:graphic>
          </wp:inline>
        </w:drawing>
      </w:r>
    </w:p>
    <w:p w:rsidR="00AF7273" w:rsidRDefault="0088013E" w:rsidP="001D03CE">
      <w:pPr>
        <w:ind w:firstLine="0"/>
        <w:jc w:val="center"/>
        <w:rPr>
          <w:rFonts w:asciiTheme="majorBidi" w:hAnsiTheme="majorBidi" w:cstheme="majorBidi"/>
          <w:b/>
          <w:bCs/>
          <w:sz w:val="48"/>
          <w:szCs w:val="48"/>
        </w:rPr>
        <w:sectPr w:rsidR="00AF7273" w:rsidSect="00AF7273">
          <w:footerReference w:type="default" r:id="rId45"/>
          <w:pgSz w:w="11906" w:h="16838"/>
          <w:pgMar w:top="421" w:right="1417" w:bottom="1417" w:left="1417" w:header="899" w:footer="708" w:gutter="0"/>
          <w:cols w:space="708"/>
          <w:docGrid w:linePitch="360"/>
        </w:sectPr>
      </w:pPr>
      <w:r>
        <w:rPr>
          <w:rFonts w:asciiTheme="majorBidi" w:hAnsiTheme="majorBidi" w:cstheme="majorBidi"/>
          <w:b/>
          <w:bCs/>
          <w:noProof/>
          <w:sz w:val="48"/>
          <w:szCs w:val="48"/>
        </w:rPr>
        <w:lastRenderedPageBreak/>
        <w:drawing>
          <wp:inline distT="0" distB="0" distL="0" distR="0" wp14:anchorId="665B3487" wp14:editId="53FB1BA6">
            <wp:extent cx="5760720" cy="7920990"/>
            <wp:effectExtent l="19050" t="0" r="0" b="0"/>
            <wp:docPr id="7" name="Image 6" descr="F:\mmm\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mmm\4.jpg"/>
                    <pic:cNvPicPr>
                      <a:picLocks noChangeAspect="1" noChangeArrowheads="1"/>
                    </pic:cNvPicPr>
                  </pic:nvPicPr>
                  <pic:blipFill>
                    <a:blip r:embed="rId46"/>
                    <a:srcRect/>
                    <a:stretch>
                      <a:fillRect/>
                    </a:stretch>
                  </pic:blipFill>
                  <pic:spPr bwMode="auto">
                    <a:xfrm>
                      <a:off x="0" y="0"/>
                      <a:ext cx="5760720" cy="7920990"/>
                    </a:xfrm>
                    <a:prstGeom prst="rect">
                      <a:avLst/>
                    </a:prstGeom>
                    <a:noFill/>
                    <a:ln w="9525">
                      <a:noFill/>
                      <a:miter lim="800000"/>
                      <a:headEnd/>
                      <a:tailEnd/>
                    </a:ln>
                  </pic:spPr>
                </pic:pic>
              </a:graphicData>
            </a:graphic>
          </wp:inline>
        </w:drawing>
      </w:r>
    </w:p>
    <w:p w:rsidR="00207547" w:rsidRDefault="0088013E" w:rsidP="000B12E4">
      <w:pPr>
        <w:ind w:firstLine="0"/>
        <w:jc w:val="center"/>
        <w:rPr>
          <w:rFonts w:asciiTheme="majorBidi" w:hAnsiTheme="majorBidi" w:cstheme="majorBidi"/>
          <w:b/>
          <w:bCs/>
          <w:sz w:val="48"/>
          <w:szCs w:val="48"/>
        </w:rPr>
        <w:sectPr w:rsidR="00207547" w:rsidSect="00793A08">
          <w:footerReference w:type="default" r:id="rId47"/>
          <w:type w:val="oddPage"/>
          <w:pgSz w:w="11906" w:h="16838"/>
          <w:pgMar w:top="421" w:right="1417" w:bottom="1417" w:left="1417" w:header="899" w:footer="708" w:gutter="0"/>
          <w:pgNumType w:start="74"/>
          <w:cols w:space="708"/>
          <w:docGrid w:linePitch="360"/>
        </w:sectPr>
      </w:pPr>
      <w:r>
        <w:rPr>
          <w:rFonts w:asciiTheme="majorBidi" w:hAnsiTheme="majorBidi" w:cstheme="majorBidi"/>
          <w:b/>
          <w:bCs/>
          <w:noProof/>
          <w:sz w:val="48"/>
          <w:szCs w:val="48"/>
        </w:rPr>
        <w:lastRenderedPageBreak/>
        <w:drawing>
          <wp:inline distT="0" distB="0" distL="0" distR="0" wp14:anchorId="63608BC4" wp14:editId="09DEBD97">
            <wp:extent cx="5760720" cy="7920990"/>
            <wp:effectExtent l="19050" t="0" r="0" b="0"/>
            <wp:docPr id="19" name="Image 7" descr="F:\mmm\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mmm\5.jpg"/>
                    <pic:cNvPicPr>
                      <a:picLocks noChangeAspect="1" noChangeArrowheads="1"/>
                    </pic:cNvPicPr>
                  </pic:nvPicPr>
                  <pic:blipFill>
                    <a:blip r:embed="rId48"/>
                    <a:srcRect/>
                    <a:stretch>
                      <a:fillRect/>
                    </a:stretch>
                  </pic:blipFill>
                  <pic:spPr bwMode="auto">
                    <a:xfrm>
                      <a:off x="0" y="0"/>
                      <a:ext cx="5760720" cy="7920990"/>
                    </a:xfrm>
                    <a:prstGeom prst="rect">
                      <a:avLst/>
                    </a:prstGeom>
                    <a:noFill/>
                    <a:ln w="9525">
                      <a:noFill/>
                      <a:miter lim="800000"/>
                      <a:headEnd/>
                      <a:tailEnd/>
                    </a:ln>
                  </pic:spPr>
                </pic:pic>
              </a:graphicData>
            </a:graphic>
          </wp:inline>
        </w:drawing>
      </w:r>
    </w:p>
    <w:p w:rsidR="00207547" w:rsidRDefault="009131F5" w:rsidP="000B12E4">
      <w:pPr>
        <w:ind w:firstLine="0"/>
        <w:jc w:val="center"/>
        <w:rPr>
          <w:rFonts w:asciiTheme="majorBidi" w:hAnsiTheme="majorBidi" w:cstheme="majorBidi"/>
          <w:b/>
          <w:bCs/>
          <w:sz w:val="48"/>
          <w:szCs w:val="48"/>
        </w:rPr>
        <w:sectPr w:rsidR="00207547" w:rsidSect="00207547">
          <w:footerReference w:type="default" r:id="rId49"/>
          <w:pgSz w:w="11906" w:h="16838"/>
          <w:pgMar w:top="421" w:right="1417" w:bottom="1417" w:left="1417" w:header="899" w:footer="708" w:gutter="0"/>
          <w:pgNumType w:start="80"/>
          <w:cols w:space="708"/>
          <w:docGrid w:linePitch="360"/>
        </w:sectPr>
      </w:pPr>
      <w:r>
        <w:rPr>
          <w:rFonts w:asciiTheme="majorBidi" w:hAnsiTheme="majorBidi" w:cstheme="majorBidi"/>
          <w:b/>
          <w:bCs/>
          <w:noProof/>
          <w:sz w:val="48"/>
          <w:szCs w:val="48"/>
        </w:rPr>
        <w:lastRenderedPageBreak/>
        <w:drawing>
          <wp:inline distT="0" distB="0" distL="0" distR="0" wp14:anchorId="411C0619" wp14:editId="6B22C86B">
            <wp:extent cx="5760720" cy="7914405"/>
            <wp:effectExtent l="19050" t="0" r="0" b="0"/>
            <wp:docPr id="21" name="Image 4" descr="C:\Users\POSTE-02\Desktop\06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OSTE-02\Desktop\06 001.jpg"/>
                    <pic:cNvPicPr>
                      <a:picLocks noChangeAspect="1" noChangeArrowheads="1"/>
                    </pic:cNvPicPr>
                  </pic:nvPicPr>
                  <pic:blipFill>
                    <a:blip r:embed="rId50"/>
                    <a:srcRect/>
                    <a:stretch>
                      <a:fillRect/>
                    </a:stretch>
                  </pic:blipFill>
                  <pic:spPr bwMode="auto">
                    <a:xfrm>
                      <a:off x="0" y="0"/>
                      <a:ext cx="5760720" cy="7914405"/>
                    </a:xfrm>
                    <a:prstGeom prst="rect">
                      <a:avLst/>
                    </a:prstGeom>
                    <a:noFill/>
                    <a:ln w="9525">
                      <a:noFill/>
                      <a:miter lim="800000"/>
                      <a:headEnd/>
                      <a:tailEnd/>
                    </a:ln>
                  </pic:spPr>
                </pic:pic>
              </a:graphicData>
            </a:graphic>
          </wp:inline>
        </w:drawing>
      </w:r>
    </w:p>
    <w:p w:rsidR="00207547" w:rsidRDefault="009131F5" w:rsidP="000B12E4">
      <w:pPr>
        <w:ind w:firstLine="0"/>
        <w:jc w:val="center"/>
        <w:rPr>
          <w:rFonts w:asciiTheme="majorBidi" w:hAnsiTheme="majorBidi" w:cstheme="majorBidi"/>
          <w:b/>
          <w:bCs/>
          <w:sz w:val="48"/>
          <w:szCs w:val="48"/>
        </w:rPr>
        <w:sectPr w:rsidR="00207547" w:rsidSect="00207547">
          <w:footerReference w:type="default" r:id="rId51"/>
          <w:pgSz w:w="11906" w:h="16838"/>
          <w:pgMar w:top="421" w:right="1417" w:bottom="1417" w:left="1417" w:header="899" w:footer="708" w:gutter="0"/>
          <w:pgNumType w:start="81"/>
          <w:cols w:space="708"/>
          <w:docGrid w:linePitch="360"/>
        </w:sectPr>
      </w:pPr>
      <w:r>
        <w:rPr>
          <w:rFonts w:asciiTheme="majorBidi" w:hAnsiTheme="majorBidi" w:cstheme="majorBidi"/>
          <w:b/>
          <w:bCs/>
          <w:noProof/>
          <w:sz w:val="48"/>
          <w:szCs w:val="48"/>
        </w:rPr>
        <w:lastRenderedPageBreak/>
        <w:drawing>
          <wp:inline distT="0" distB="0" distL="0" distR="0" wp14:anchorId="306F9AD2" wp14:editId="44933DFC">
            <wp:extent cx="5760720" cy="7914405"/>
            <wp:effectExtent l="19050" t="0" r="0" b="0"/>
            <wp:docPr id="22" name="Image 5" descr="C:\Users\POSTE-02\Desktop\05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OSTE-02\Desktop\05 001.jpg"/>
                    <pic:cNvPicPr>
                      <a:picLocks noChangeAspect="1" noChangeArrowheads="1"/>
                    </pic:cNvPicPr>
                  </pic:nvPicPr>
                  <pic:blipFill>
                    <a:blip r:embed="rId52"/>
                    <a:srcRect/>
                    <a:stretch>
                      <a:fillRect/>
                    </a:stretch>
                  </pic:blipFill>
                  <pic:spPr bwMode="auto">
                    <a:xfrm>
                      <a:off x="0" y="0"/>
                      <a:ext cx="5760720" cy="7914405"/>
                    </a:xfrm>
                    <a:prstGeom prst="rect">
                      <a:avLst/>
                    </a:prstGeom>
                    <a:noFill/>
                    <a:ln w="9525">
                      <a:noFill/>
                      <a:miter lim="800000"/>
                      <a:headEnd/>
                      <a:tailEnd/>
                    </a:ln>
                  </pic:spPr>
                </pic:pic>
              </a:graphicData>
            </a:graphic>
          </wp:inline>
        </w:drawing>
      </w:r>
    </w:p>
    <w:p w:rsidR="00207547" w:rsidRDefault="009131F5" w:rsidP="000B12E4">
      <w:pPr>
        <w:ind w:firstLine="0"/>
        <w:jc w:val="center"/>
        <w:rPr>
          <w:rFonts w:asciiTheme="majorBidi" w:hAnsiTheme="majorBidi" w:cstheme="majorBidi"/>
          <w:b/>
          <w:bCs/>
          <w:sz w:val="48"/>
          <w:szCs w:val="48"/>
        </w:rPr>
        <w:sectPr w:rsidR="00207547" w:rsidSect="00207547">
          <w:footerReference w:type="default" r:id="rId53"/>
          <w:pgSz w:w="11906" w:h="16838"/>
          <w:pgMar w:top="421" w:right="1417" w:bottom="1417" w:left="1417" w:header="899" w:footer="708" w:gutter="0"/>
          <w:pgNumType w:start="74"/>
          <w:cols w:space="708"/>
          <w:docGrid w:linePitch="360"/>
        </w:sectPr>
      </w:pPr>
      <w:r>
        <w:rPr>
          <w:rFonts w:asciiTheme="majorBidi" w:hAnsiTheme="majorBidi" w:cstheme="majorBidi"/>
          <w:b/>
          <w:bCs/>
          <w:noProof/>
          <w:sz w:val="48"/>
          <w:szCs w:val="48"/>
        </w:rPr>
        <w:lastRenderedPageBreak/>
        <w:drawing>
          <wp:inline distT="0" distB="0" distL="0" distR="0" wp14:anchorId="5FBDC243" wp14:editId="0DD27CC1">
            <wp:extent cx="5760720" cy="7914405"/>
            <wp:effectExtent l="19050" t="0" r="0" b="0"/>
            <wp:docPr id="23" name="Image 6" descr="C:\Users\POSTE-02\Desktop\07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OSTE-02\Desktop\07 001.jpg"/>
                    <pic:cNvPicPr>
                      <a:picLocks noChangeAspect="1" noChangeArrowheads="1"/>
                    </pic:cNvPicPr>
                  </pic:nvPicPr>
                  <pic:blipFill>
                    <a:blip r:embed="rId54"/>
                    <a:srcRect/>
                    <a:stretch>
                      <a:fillRect/>
                    </a:stretch>
                  </pic:blipFill>
                  <pic:spPr bwMode="auto">
                    <a:xfrm>
                      <a:off x="0" y="0"/>
                      <a:ext cx="5760720" cy="7914405"/>
                    </a:xfrm>
                    <a:prstGeom prst="rect">
                      <a:avLst/>
                    </a:prstGeom>
                    <a:noFill/>
                    <a:ln w="9525">
                      <a:noFill/>
                      <a:miter lim="800000"/>
                      <a:headEnd/>
                      <a:tailEnd/>
                    </a:ln>
                  </pic:spPr>
                </pic:pic>
              </a:graphicData>
            </a:graphic>
          </wp:inline>
        </w:drawing>
      </w:r>
    </w:p>
    <w:p w:rsidR="00207547" w:rsidRDefault="009131F5" w:rsidP="000B12E4">
      <w:pPr>
        <w:ind w:firstLine="0"/>
        <w:jc w:val="center"/>
        <w:rPr>
          <w:rFonts w:asciiTheme="majorBidi" w:hAnsiTheme="majorBidi" w:cstheme="majorBidi"/>
          <w:b/>
          <w:bCs/>
          <w:sz w:val="48"/>
          <w:szCs w:val="48"/>
        </w:rPr>
        <w:sectPr w:rsidR="00207547" w:rsidSect="00207547">
          <w:footerReference w:type="default" r:id="rId55"/>
          <w:pgSz w:w="11906" w:h="16838"/>
          <w:pgMar w:top="421" w:right="1417" w:bottom="1417" w:left="1417" w:header="899" w:footer="708" w:gutter="0"/>
          <w:pgNumType w:start="74"/>
          <w:cols w:space="708"/>
          <w:docGrid w:linePitch="360"/>
        </w:sectPr>
      </w:pPr>
      <w:r>
        <w:rPr>
          <w:rFonts w:asciiTheme="majorBidi" w:hAnsiTheme="majorBidi" w:cstheme="majorBidi"/>
          <w:b/>
          <w:bCs/>
          <w:noProof/>
          <w:sz w:val="48"/>
          <w:szCs w:val="48"/>
        </w:rPr>
        <w:lastRenderedPageBreak/>
        <w:drawing>
          <wp:inline distT="0" distB="0" distL="0" distR="0" wp14:anchorId="5F08A79E" wp14:editId="6A133861">
            <wp:extent cx="5760720" cy="7914405"/>
            <wp:effectExtent l="19050" t="0" r="0" b="0"/>
            <wp:docPr id="24" name="Image 7" descr="C:\Users\POSTE-02\Desktop\01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OSTE-02\Desktop\01 001.jpg"/>
                    <pic:cNvPicPr>
                      <a:picLocks noChangeAspect="1" noChangeArrowheads="1"/>
                    </pic:cNvPicPr>
                  </pic:nvPicPr>
                  <pic:blipFill>
                    <a:blip r:embed="rId56"/>
                    <a:srcRect/>
                    <a:stretch>
                      <a:fillRect/>
                    </a:stretch>
                  </pic:blipFill>
                  <pic:spPr bwMode="auto">
                    <a:xfrm>
                      <a:off x="0" y="0"/>
                      <a:ext cx="5760720" cy="7914405"/>
                    </a:xfrm>
                    <a:prstGeom prst="rect">
                      <a:avLst/>
                    </a:prstGeom>
                    <a:noFill/>
                    <a:ln w="9525">
                      <a:noFill/>
                      <a:miter lim="800000"/>
                      <a:headEnd/>
                      <a:tailEnd/>
                    </a:ln>
                  </pic:spPr>
                </pic:pic>
              </a:graphicData>
            </a:graphic>
          </wp:inline>
        </w:drawing>
      </w:r>
    </w:p>
    <w:p w:rsidR="00207547" w:rsidRDefault="009131F5" w:rsidP="000B12E4">
      <w:pPr>
        <w:ind w:firstLine="0"/>
        <w:jc w:val="center"/>
        <w:rPr>
          <w:rFonts w:asciiTheme="majorBidi" w:hAnsiTheme="majorBidi" w:cstheme="majorBidi"/>
          <w:b/>
          <w:bCs/>
          <w:sz w:val="48"/>
          <w:szCs w:val="48"/>
        </w:rPr>
        <w:sectPr w:rsidR="00207547" w:rsidSect="00207547">
          <w:footerReference w:type="default" r:id="rId57"/>
          <w:pgSz w:w="11906" w:h="16838"/>
          <w:pgMar w:top="421" w:right="1417" w:bottom="1417" w:left="1417" w:header="899" w:footer="708" w:gutter="0"/>
          <w:pgNumType w:start="74"/>
          <w:cols w:space="708"/>
          <w:docGrid w:linePitch="360"/>
        </w:sectPr>
      </w:pPr>
      <w:r>
        <w:rPr>
          <w:rFonts w:asciiTheme="majorBidi" w:hAnsiTheme="majorBidi" w:cstheme="majorBidi"/>
          <w:b/>
          <w:bCs/>
          <w:noProof/>
          <w:sz w:val="48"/>
          <w:szCs w:val="48"/>
        </w:rPr>
        <w:lastRenderedPageBreak/>
        <w:drawing>
          <wp:inline distT="0" distB="0" distL="0" distR="0" wp14:anchorId="7E66D539" wp14:editId="4A0EF2CD">
            <wp:extent cx="5760720" cy="7914405"/>
            <wp:effectExtent l="19050" t="0" r="0" b="0"/>
            <wp:docPr id="25" name="Image 8" descr="C:\Users\POSTE-02\Desktop\02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OSTE-02\Desktop\02 001.jpg"/>
                    <pic:cNvPicPr>
                      <a:picLocks noChangeAspect="1" noChangeArrowheads="1"/>
                    </pic:cNvPicPr>
                  </pic:nvPicPr>
                  <pic:blipFill>
                    <a:blip r:embed="rId58"/>
                    <a:srcRect/>
                    <a:stretch>
                      <a:fillRect/>
                    </a:stretch>
                  </pic:blipFill>
                  <pic:spPr bwMode="auto">
                    <a:xfrm>
                      <a:off x="0" y="0"/>
                      <a:ext cx="5760720" cy="7914405"/>
                    </a:xfrm>
                    <a:prstGeom prst="rect">
                      <a:avLst/>
                    </a:prstGeom>
                    <a:noFill/>
                    <a:ln w="9525">
                      <a:noFill/>
                      <a:miter lim="800000"/>
                      <a:headEnd/>
                      <a:tailEnd/>
                    </a:ln>
                  </pic:spPr>
                </pic:pic>
              </a:graphicData>
            </a:graphic>
          </wp:inline>
        </w:drawing>
      </w:r>
    </w:p>
    <w:p w:rsidR="00DB48B2" w:rsidRDefault="009131F5" w:rsidP="000B12E4">
      <w:pPr>
        <w:ind w:firstLine="0"/>
        <w:jc w:val="center"/>
        <w:rPr>
          <w:rFonts w:asciiTheme="majorBidi" w:hAnsiTheme="majorBidi" w:cstheme="majorBidi"/>
          <w:b/>
          <w:bCs/>
          <w:sz w:val="48"/>
          <w:szCs w:val="48"/>
        </w:rPr>
        <w:sectPr w:rsidR="00DB48B2" w:rsidSect="00DB48B2">
          <w:footerReference w:type="default" r:id="rId59"/>
          <w:pgSz w:w="11906" w:h="16838"/>
          <w:pgMar w:top="421" w:right="1417" w:bottom="1417" w:left="1417" w:header="899" w:footer="708" w:gutter="0"/>
          <w:pgNumType w:start="81"/>
          <w:cols w:space="708"/>
          <w:docGrid w:linePitch="360"/>
        </w:sectPr>
      </w:pPr>
      <w:r>
        <w:rPr>
          <w:rFonts w:asciiTheme="majorBidi" w:hAnsiTheme="majorBidi" w:cstheme="majorBidi"/>
          <w:b/>
          <w:bCs/>
          <w:noProof/>
          <w:sz w:val="48"/>
          <w:szCs w:val="48"/>
        </w:rPr>
        <w:lastRenderedPageBreak/>
        <w:drawing>
          <wp:inline distT="0" distB="0" distL="0" distR="0" wp14:anchorId="3A858F7E" wp14:editId="30DEB9A1">
            <wp:extent cx="5760720" cy="7914405"/>
            <wp:effectExtent l="19050" t="0" r="0" b="0"/>
            <wp:docPr id="26" name="Image 9" descr="C:\Users\POSTE-02\Desktop\04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OSTE-02\Desktop\04 001.jpg"/>
                    <pic:cNvPicPr>
                      <a:picLocks noChangeAspect="1" noChangeArrowheads="1"/>
                    </pic:cNvPicPr>
                  </pic:nvPicPr>
                  <pic:blipFill>
                    <a:blip r:embed="rId60"/>
                    <a:srcRect/>
                    <a:stretch>
                      <a:fillRect/>
                    </a:stretch>
                  </pic:blipFill>
                  <pic:spPr bwMode="auto">
                    <a:xfrm>
                      <a:off x="0" y="0"/>
                      <a:ext cx="5760720" cy="7914405"/>
                    </a:xfrm>
                    <a:prstGeom prst="rect">
                      <a:avLst/>
                    </a:prstGeom>
                    <a:noFill/>
                    <a:ln w="9525">
                      <a:noFill/>
                      <a:miter lim="800000"/>
                      <a:headEnd/>
                      <a:tailEnd/>
                    </a:ln>
                  </pic:spPr>
                </pic:pic>
              </a:graphicData>
            </a:graphic>
          </wp:inline>
        </w:drawing>
      </w:r>
    </w:p>
    <w:p w:rsidR="00AF7273" w:rsidRDefault="009131F5" w:rsidP="000B12E4">
      <w:pPr>
        <w:ind w:firstLine="0"/>
        <w:jc w:val="center"/>
        <w:rPr>
          <w:rFonts w:asciiTheme="majorBidi" w:hAnsiTheme="majorBidi" w:cstheme="majorBidi"/>
          <w:b/>
          <w:bCs/>
          <w:sz w:val="48"/>
          <w:szCs w:val="48"/>
        </w:rPr>
        <w:sectPr w:rsidR="00AF7273" w:rsidSect="00207547">
          <w:footerReference w:type="default" r:id="rId61"/>
          <w:pgSz w:w="11906" w:h="16838"/>
          <w:pgMar w:top="421" w:right="1417" w:bottom="1417" w:left="1417" w:header="899" w:footer="708" w:gutter="0"/>
          <w:pgNumType w:start="74"/>
          <w:cols w:space="708"/>
          <w:docGrid w:linePitch="360"/>
        </w:sectPr>
      </w:pPr>
      <w:r>
        <w:rPr>
          <w:rFonts w:asciiTheme="majorBidi" w:hAnsiTheme="majorBidi" w:cstheme="majorBidi"/>
          <w:b/>
          <w:bCs/>
          <w:noProof/>
          <w:sz w:val="48"/>
          <w:szCs w:val="48"/>
        </w:rPr>
        <w:lastRenderedPageBreak/>
        <w:drawing>
          <wp:inline distT="0" distB="0" distL="0" distR="0" wp14:anchorId="6B841BB2" wp14:editId="46275D12">
            <wp:extent cx="5760720" cy="7914405"/>
            <wp:effectExtent l="19050" t="0" r="0" b="0"/>
            <wp:docPr id="27" name="Image 10" descr="C:\Users\POSTE-02\Desktop\03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OSTE-02\Desktop\03 001.jpg"/>
                    <pic:cNvPicPr>
                      <a:picLocks noChangeAspect="1" noChangeArrowheads="1"/>
                    </pic:cNvPicPr>
                  </pic:nvPicPr>
                  <pic:blipFill>
                    <a:blip r:embed="rId62"/>
                    <a:srcRect/>
                    <a:stretch>
                      <a:fillRect/>
                    </a:stretch>
                  </pic:blipFill>
                  <pic:spPr bwMode="auto">
                    <a:xfrm>
                      <a:off x="0" y="0"/>
                      <a:ext cx="5760720" cy="7914405"/>
                    </a:xfrm>
                    <a:prstGeom prst="rect">
                      <a:avLst/>
                    </a:prstGeom>
                    <a:noFill/>
                    <a:ln w="9525">
                      <a:noFill/>
                      <a:miter lim="800000"/>
                      <a:headEnd/>
                      <a:tailEnd/>
                    </a:ln>
                  </pic:spPr>
                </pic:pic>
              </a:graphicData>
            </a:graphic>
          </wp:inline>
        </w:drawing>
      </w:r>
    </w:p>
    <w:p w:rsidR="00637BB8" w:rsidRDefault="00637BB8" w:rsidP="001D03CE">
      <w:pPr>
        <w:ind w:firstLine="0"/>
        <w:jc w:val="center"/>
        <w:rPr>
          <w:rFonts w:asciiTheme="majorBidi" w:hAnsiTheme="majorBidi" w:cstheme="majorBidi"/>
          <w:b/>
          <w:bCs/>
          <w:sz w:val="48"/>
          <w:szCs w:val="48"/>
        </w:rPr>
      </w:pPr>
      <w:r w:rsidRPr="00515F31">
        <w:rPr>
          <w:rFonts w:asciiTheme="majorBidi" w:hAnsiTheme="majorBidi" w:cstheme="majorBidi"/>
          <w:b/>
          <w:bCs/>
          <w:sz w:val="48"/>
          <w:szCs w:val="48"/>
        </w:rPr>
        <w:lastRenderedPageBreak/>
        <w:t>La liste des graphes</w:t>
      </w:r>
    </w:p>
    <w:p w:rsidR="00637BB8" w:rsidRPr="00387363" w:rsidRDefault="00637BB8" w:rsidP="00637BB8">
      <w:pPr>
        <w:spacing w:line="600" w:lineRule="auto"/>
        <w:rPr>
          <w:rFonts w:asciiTheme="majorBidi" w:hAnsiTheme="majorBidi" w:cstheme="majorBidi"/>
          <w:b/>
          <w:bCs/>
          <w:szCs w:val="24"/>
        </w:rPr>
      </w:pPr>
    </w:p>
    <w:p w:rsidR="00637BB8" w:rsidRPr="00387363" w:rsidRDefault="00637BB8" w:rsidP="00637BB8">
      <w:pPr>
        <w:spacing w:line="600" w:lineRule="auto"/>
        <w:ind w:firstLine="0"/>
        <w:rPr>
          <w:rFonts w:asciiTheme="majorBidi" w:hAnsiTheme="majorBidi" w:cstheme="majorBidi"/>
          <w:b/>
          <w:bCs/>
          <w:szCs w:val="24"/>
        </w:rPr>
      </w:pPr>
      <w:r w:rsidRPr="00387363">
        <w:rPr>
          <w:rFonts w:asciiTheme="majorBidi" w:hAnsiTheme="majorBidi" w:cstheme="majorBidi"/>
          <w:b/>
          <w:bCs/>
          <w:szCs w:val="24"/>
        </w:rPr>
        <w:t>Graphes N° 1 :</w:t>
      </w:r>
      <w:r w:rsidRPr="00387363">
        <w:rPr>
          <w:rFonts w:asciiTheme="majorBidi" w:hAnsiTheme="majorBidi" w:cstheme="majorBidi"/>
          <w:szCs w:val="24"/>
        </w:rPr>
        <w:t xml:space="preserve"> Evolution de l’épargne et de l’investissement</w:t>
      </w:r>
      <w:r w:rsidR="00CA15FD">
        <w:rPr>
          <w:rFonts w:asciiTheme="majorBidi" w:hAnsiTheme="majorBidi" w:cstheme="majorBidi"/>
          <w:szCs w:val="24"/>
        </w:rPr>
        <w:t>……………………………....31</w:t>
      </w:r>
    </w:p>
    <w:p w:rsidR="00637BB8" w:rsidRPr="00387363" w:rsidRDefault="00637BB8" w:rsidP="00637BB8">
      <w:pPr>
        <w:spacing w:line="600" w:lineRule="auto"/>
        <w:ind w:firstLine="0"/>
        <w:rPr>
          <w:rFonts w:asciiTheme="majorBidi" w:hAnsiTheme="majorBidi" w:cstheme="majorBidi"/>
          <w:szCs w:val="24"/>
        </w:rPr>
      </w:pPr>
      <w:r w:rsidRPr="00387363">
        <w:rPr>
          <w:rFonts w:asciiTheme="majorBidi" w:hAnsiTheme="majorBidi" w:cstheme="majorBidi"/>
          <w:b/>
          <w:bCs/>
          <w:szCs w:val="24"/>
        </w:rPr>
        <w:t xml:space="preserve">Graphes N° 2 : </w:t>
      </w:r>
      <w:r w:rsidRPr="00387363">
        <w:rPr>
          <w:rFonts w:asciiTheme="majorBidi" w:hAnsiTheme="majorBidi" w:cstheme="majorBidi"/>
          <w:szCs w:val="24"/>
        </w:rPr>
        <w:t xml:space="preserve">Evolution du taux de croissance du PIB et du PIBHH </w:t>
      </w:r>
      <w:r>
        <w:rPr>
          <w:rFonts w:asciiTheme="majorBidi" w:hAnsiTheme="majorBidi" w:cstheme="majorBidi"/>
          <w:szCs w:val="24"/>
        </w:rPr>
        <w:t>…………</w:t>
      </w:r>
      <w:r w:rsidR="00CA15FD">
        <w:rPr>
          <w:rFonts w:asciiTheme="majorBidi" w:hAnsiTheme="majorBidi" w:cstheme="majorBidi"/>
          <w:szCs w:val="24"/>
        </w:rPr>
        <w:t>………….33</w:t>
      </w:r>
    </w:p>
    <w:p w:rsidR="00637BB8" w:rsidRPr="00387363" w:rsidRDefault="00637BB8" w:rsidP="00CA15FD">
      <w:pPr>
        <w:spacing w:line="600" w:lineRule="auto"/>
        <w:ind w:firstLine="0"/>
        <w:rPr>
          <w:rFonts w:asciiTheme="majorBidi" w:hAnsiTheme="majorBidi" w:cstheme="majorBidi"/>
          <w:b/>
          <w:bCs/>
          <w:szCs w:val="24"/>
        </w:rPr>
      </w:pPr>
      <w:r w:rsidRPr="00387363">
        <w:rPr>
          <w:rFonts w:asciiTheme="majorBidi" w:hAnsiTheme="majorBidi" w:cstheme="majorBidi"/>
          <w:b/>
          <w:bCs/>
          <w:szCs w:val="24"/>
        </w:rPr>
        <w:t xml:space="preserve">Graphes N° 3 : </w:t>
      </w:r>
      <w:r w:rsidRPr="00387363">
        <w:rPr>
          <w:rFonts w:asciiTheme="majorBidi" w:hAnsiTheme="majorBidi" w:cstheme="majorBidi"/>
          <w:szCs w:val="24"/>
        </w:rPr>
        <w:t>Ressources collectées et crédits accordés</w:t>
      </w:r>
      <w:r w:rsidR="00CA15FD">
        <w:rPr>
          <w:rFonts w:asciiTheme="majorBidi" w:hAnsiTheme="majorBidi" w:cstheme="majorBidi"/>
          <w:szCs w:val="24"/>
        </w:rPr>
        <w:t>…………………………………...39</w:t>
      </w:r>
    </w:p>
    <w:p w:rsidR="00637BB8" w:rsidRPr="00387363" w:rsidRDefault="00637BB8" w:rsidP="00637BB8">
      <w:pPr>
        <w:spacing w:line="600" w:lineRule="auto"/>
        <w:ind w:firstLine="0"/>
        <w:rPr>
          <w:rFonts w:asciiTheme="majorBidi" w:hAnsiTheme="majorBidi" w:cstheme="majorBidi"/>
          <w:szCs w:val="24"/>
        </w:rPr>
      </w:pPr>
      <w:r w:rsidRPr="00387363">
        <w:rPr>
          <w:rFonts w:asciiTheme="majorBidi" w:hAnsiTheme="majorBidi" w:cstheme="majorBidi"/>
          <w:b/>
          <w:bCs/>
          <w:szCs w:val="24"/>
        </w:rPr>
        <w:t xml:space="preserve">Graphes N° 4 : </w:t>
      </w:r>
      <w:r w:rsidRPr="00387363">
        <w:rPr>
          <w:rFonts w:asciiTheme="majorBidi" w:hAnsiTheme="majorBidi" w:cstheme="majorBidi"/>
          <w:szCs w:val="24"/>
        </w:rPr>
        <w:t>Structure de la masse monétaire</w:t>
      </w:r>
      <w:r w:rsidR="00CA15FD">
        <w:rPr>
          <w:rFonts w:asciiTheme="majorBidi" w:hAnsiTheme="majorBidi" w:cstheme="majorBidi"/>
          <w:szCs w:val="24"/>
        </w:rPr>
        <w:t xml:space="preserve"> ……………………………………………55</w:t>
      </w:r>
    </w:p>
    <w:p w:rsidR="00637BB8" w:rsidRPr="00387363" w:rsidRDefault="00637BB8" w:rsidP="00637BB8">
      <w:pPr>
        <w:spacing w:line="600" w:lineRule="auto"/>
        <w:ind w:firstLine="0"/>
        <w:rPr>
          <w:rFonts w:asciiTheme="majorBidi" w:hAnsiTheme="majorBidi" w:cstheme="majorBidi"/>
          <w:szCs w:val="24"/>
        </w:rPr>
      </w:pPr>
      <w:r w:rsidRPr="00387363">
        <w:rPr>
          <w:rFonts w:asciiTheme="majorBidi" w:hAnsiTheme="majorBidi" w:cstheme="majorBidi"/>
          <w:b/>
          <w:bCs/>
          <w:szCs w:val="24"/>
        </w:rPr>
        <w:t xml:space="preserve">Graphes N° 5 : </w:t>
      </w:r>
      <w:r w:rsidRPr="00387363">
        <w:rPr>
          <w:rFonts w:asciiTheme="majorBidi" w:hAnsiTheme="majorBidi" w:cstheme="majorBidi"/>
          <w:szCs w:val="24"/>
        </w:rPr>
        <w:t>Evolution de la masse monétaire</w:t>
      </w:r>
      <w:r w:rsidR="00CA15FD">
        <w:rPr>
          <w:rFonts w:asciiTheme="majorBidi" w:hAnsiTheme="majorBidi" w:cstheme="majorBidi"/>
          <w:szCs w:val="24"/>
        </w:rPr>
        <w:t>……………………………………………56</w:t>
      </w:r>
    </w:p>
    <w:p w:rsidR="00637BB8" w:rsidRPr="00387363" w:rsidRDefault="00637BB8" w:rsidP="00637BB8">
      <w:pPr>
        <w:spacing w:line="600" w:lineRule="auto"/>
        <w:ind w:firstLine="0"/>
        <w:rPr>
          <w:rFonts w:asciiTheme="majorBidi" w:hAnsiTheme="majorBidi" w:cstheme="majorBidi"/>
          <w:szCs w:val="24"/>
        </w:rPr>
      </w:pPr>
      <w:r w:rsidRPr="00387363">
        <w:rPr>
          <w:rFonts w:asciiTheme="majorBidi" w:hAnsiTheme="majorBidi" w:cstheme="majorBidi"/>
          <w:b/>
          <w:bCs/>
          <w:szCs w:val="24"/>
        </w:rPr>
        <w:t xml:space="preserve">Graphes N° 6 : </w:t>
      </w:r>
      <w:r w:rsidRPr="00387363">
        <w:rPr>
          <w:rFonts w:asciiTheme="majorBidi" w:hAnsiTheme="majorBidi" w:cstheme="majorBidi"/>
          <w:szCs w:val="24"/>
        </w:rPr>
        <w:t>Contrepartie de la masse monétaire</w:t>
      </w:r>
      <w:r w:rsidR="00AC2B20">
        <w:rPr>
          <w:rFonts w:asciiTheme="majorBidi" w:hAnsiTheme="majorBidi" w:cstheme="majorBidi"/>
          <w:szCs w:val="24"/>
        </w:rPr>
        <w:t>…………………………………………57</w:t>
      </w:r>
    </w:p>
    <w:p w:rsidR="00637BB8" w:rsidRPr="00387363" w:rsidRDefault="00637BB8" w:rsidP="00637BB8">
      <w:pPr>
        <w:spacing w:line="600" w:lineRule="auto"/>
        <w:ind w:firstLine="0"/>
        <w:rPr>
          <w:rFonts w:asciiTheme="majorBidi" w:hAnsiTheme="majorBidi" w:cstheme="majorBidi"/>
          <w:b/>
          <w:bCs/>
          <w:szCs w:val="24"/>
        </w:rPr>
      </w:pPr>
      <w:r w:rsidRPr="00387363">
        <w:rPr>
          <w:rFonts w:asciiTheme="majorBidi" w:hAnsiTheme="majorBidi" w:cstheme="majorBidi"/>
          <w:b/>
          <w:bCs/>
          <w:szCs w:val="24"/>
        </w:rPr>
        <w:t xml:space="preserve">Graphes N° 7 : </w:t>
      </w:r>
      <w:r w:rsidRPr="00387363">
        <w:rPr>
          <w:rFonts w:asciiTheme="majorBidi" w:hAnsiTheme="majorBidi" w:cstheme="majorBidi"/>
          <w:szCs w:val="24"/>
        </w:rPr>
        <w:t>Distribution des crédits par secteurs</w:t>
      </w:r>
      <w:r w:rsidR="00CA15FD">
        <w:rPr>
          <w:rFonts w:asciiTheme="majorBidi" w:hAnsiTheme="majorBidi" w:cstheme="majorBidi"/>
          <w:szCs w:val="24"/>
        </w:rPr>
        <w:t>………………………………………..60</w:t>
      </w:r>
    </w:p>
    <w:p w:rsidR="00637BB8" w:rsidRDefault="00637BB8" w:rsidP="00EC2073">
      <w:pPr>
        <w:pStyle w:val="Titre1"/>
        <w:sectPr w:rsidR="00637BB8" w:rsidSect="007F0DAB">
          <w:headerReference w:type="default" r:id="rId63"/>
          <w:footerReference w:type="default" r:id="rId64"/>
          <w:pgSz w:w="11906" w:h="16838"/>
          <w:pgMar w:top="421" w:right="1417" w:bottom="1417" w:left="1417" w:header="899" w:footer="708" w:gutter="0"/>
          <w:pgNumType w:start="82"/>
          <w:cols w:space="708"/>
          <w:docGrid w:linePitch="360"/>
        </w:sectPr>
      </w:pPr>
    </w:p>
    <w:p w:rsidR="00637BB8" w:rsidRDefault="00637BB8" w:rsidP="00637BB8">
      <w:pPr>
        <w:jc w:val="center"/>
        <w:rPr>
          <w:rFonts w:asciiTheme="majorBidi" w:hAnsiTheme="majorBidi" w:cstheme="majorBidi"/>
          <w:b/>
          <w:bCs/>
          <w:sz w:val="48"/>
          <w:szCs w:val="48"/>
        </w:rPr>
      </w:pPr>
      <w:r w:rsidRPr="0087635B">
        <w:rPr>
          <w:rFonts w:asciiTheme="majorBidi" w:hAnsiTheme="majorBidi" w:cstheme="majorBidi"/>
          <w:b/>
          <w:bCs/>
          <w:sz w:val="48"/>
          <w:szCs w:val="48"/>
        </w:rPr>
        <w:lastRenderedPageBreak/>
        <w:t>La liste des tableaux</w:t>
      </w:r>
    </w:p>
    <w:p w:rsidR="00637BB8" w:rsidRDefault="00637BB8" w:rsidP="00637BB8">
      <w:pPr>
        <w:rPr>
          <w:rFonts w:asciiTheme="majorBidi" w:hAnsiTheme="majorBidi" w:cstheme="majorBidi"/>
          <w:szCs w:val="24"/>
        </w:rPr>
      </w:pPr>
    </w:p>
    <w:p w:rsidR="00637BB8" w:rsidRDefault="00637BB8" w:rsidP="00637BB8">
      <w:pPr>
        <w:ind w:firstLine="0"/>
        <w:rPr>
          <w:rFonts w:asciiTheme="majorBidi" w:hAnsiTheme="majorBidi" w:cstheme="majorBidi"/>
          <w:szCs w:val="24"/>
        </w:rPr>
      </w:pPr>
      <w:r w:rsidRPr="0087635B">
        <w:rPr>
          <w:rFonts w:asciiTheme="majorBidi" w:hAnsiTheme="majorBidi" w:cstheme="majorBidi"/>
          <w:b/>
          <w:bCs/>
          <w:szCs w:val="24"/>
        </w:rPr>
        <w:t>Tableau N°1</w:t>
      </w:r>
      <w:r>
        <w:rPr>
          <w:rFonts w:asciiTheme="majorBidi" w:hAnsiTheme="majorBidi" w:cstheme="majorBidi"/>
          <w:szCs w:val="24"/>
        </w:rPr>
        <w:t> : Bilan de la Banqu</w:t>
      </w:r>
      <w:r w:rsidR="00CA15FD">
        <w:rPr>
          <w:rFonts w:asciiTheme="majorBidi" w:hAnsiTheme="majorBidi" w:cstheme="majorBidi"/>
          <w:szCs w:val="24"/>
        </w:rPr>
        <w:t>e Centrale …………………………………………………23</w:t>
      </w:r>
    </w:p>
    <w:p w:rsidR="00637BB8" w:rsidRDefault="00637BB8" w:rsidP="00637BB8">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°2</w:t>
      </w:r>
      <w:r>
        <w:rPr>
          <w:rFonts w:asciiTheme="majorBidi" w:hAnsiTheme="majorBidi" w:cstheme="majorBidi"/>
          <w:szCs w:val="24"/>
        </w:rPr>
        <w:t> : Bilan de la ba</w:t>
      </w:r>
      <w:r w:rsidR="00CA15FD">
        <w:rPr>
          <w:rFonts w:asciiTheme="majorBidi" w:hAnsiTheme="majorBidi" w:cstheme="majorBidi"/>
          <w:szCs w:val="24"/>
        </w:rPr>
        <w:t>nque …………………………………………………………...24</w:t>
      </w:r>
    </w:p>
    <w:p w:rsidR="00637BB8" w:rsidRDefault="00637BB8" w:rsidP="00637BB8">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°3</w:t>
      </w:r>
      <w:r>
        <w:rPr>
          <w:rFonts w:asciiTheme="majorBidi" w:hAnsiTheme="majorBidi" w:cstheme="majorBidi"/>
          <w:szCs w:val="24"/>
        </w:rPr>
        <w:t xml:space="preserve"> : Hors bilan de la </w:t>
      </w:r>
      <w:r w:rsidR="00CA15FD">
        <w:rPr>
          <w:rFonts w:asciiTheme="majorBidi" w:hAnsiTheme="majorBidi" w:cstheme="majorBidi"/>
          <w:szCs w:val="24"/>
        </w:rPr>
        <w:t>banque ……………………………………………………...25</w:t>
      </w:r>
    </w:p>
    <w:p w:rsidR="00637BB8" w:rsidRDefault="00637BB8" w:rsidP="00637BB8">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°4</w:t>
      </w:r>
      <w:r>
        <w:rPr>
          <w:rFonts w:asciiTheme="majorBidi" w:hAnsiTheme="majorBidi" w:cstheme="majorBidi"/>
          <w:szCs w:val="24"/>
        </w:rPr>
        <w:t> : Compte de résultat d</w:t>
      </w:r>
      <w:r w:rsidR="00CA15FD">
        <w:rPr>
          <w:rFonts w:asciiTheme="majorBidi" w:hAnsiTheme="majorBidi" w:cstheme="majorBidi"/>
          <w:szCs w:val="24"/>
        </w:rPr>
        <w:t>e la banque…………………………………….……….26</w:t>
      </w:r>
    </w:p>
    <w:p w:rsidR="00637BB8" w:rsidRDefault="00637BB8" w:rsidP="001D03CE">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°5</w:t>
      </w:r>
      <w:r>
        <w:rPr>
          <w:rFonts w:asciiTheme="majorBidi" w:hAnsiTheme="majorBidi" w:cstheme="majorBidi"/>
          <w:szCs w:val="24"/>
        </w:rPr>
        <w:t> : Calcul du ratio épargne/i</w:t>
      </w:r>
      <w:r w:rsidR="00CA15FD">
        <w:rPr>
          <w:rFonts w:asciiTheme="majorBidi" w:hAnsiTheme="majorBidi" w:cstheme="majorBidi"/>
          <w:szCs w:val="24"/>
        </w:rPr>
        <w:t>nvestissement ……………………………………..32</w:t>
      </w:r>
    </w:p>
    <w:p w:rsidR="00637BB8" w:rsidRDefault="00637BB8" w:rsidP="001D03CE">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°6</w:t>
      </w:r>
      <w:r>
        <w:rPr>
          <w:rFonts w:asciiTheme="majorBidi" w:hAnsiTheme="majorBidi" w:cstheme="majorBidi"/>
          <w:szCs w:val="24"/>
        </w:rPr>
        <w:t> : Calcul du ratio dépôts bancaires/PIB…………………………</w:t>
      </w:r>
      <w:r w:rsidR="00CA15FD">
        <w:rPr>
          <w:rFonts w:asciiTheme="majorBidi" w:hAnsiTheme="majorBidi" w:cstheme="majorBidi"/>
          <w:szCs w:val="24"/>
        </w:rPr>
        <w:t>……………..34</w:t>
      </w:r>
    </w:p>
    <w:p w:rsidR="00637BB8" w:rsidRDefault="00637BB8" w:rsidP="001D03CE">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°7</w:t>
      </w:r>
      <w:r>
        <w:rPr>
          <w:rFonts w:asciiTheme="majorBidi" w:hAnsiTheme="majorBidi" w:cstheme="majorBidi"/>
          <w:szCs w:val="24"/>
        </w:rPr>
        <w:t> : Dépôts ban</w:t>
      </w:r>
      <w:r w:rsidR="00CA15FD">
        <w:rPr>
          <w:rFonts w:asciiTheme="majorBidi" w:hAnsiTheme="majorBidi" w:cstheme="majorBidi"/>
          <w:szCs w:val="24"/>
        </w:rPr>
        <w:t>caires ……………………………………………………………36</w:t>
      </w:r>
    </w:p>
    <w:p w:rsidR="00637BB8" w:rsidRDefault="00637BB8" w:rsidP="001D03CE">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°8</w:t>
      </w:r>
      <w:r>
        <w:rPr>
          <w:rFonts w:asciiTheme="majorBidi" w:hAnsiTheme="majorBidi" w:cstheme="majorBidi"/>
          <w:szCs w:val="24"/>
        </w:rPr>
        <w:t> : Crédits distri</w:t>
      </w:r>
      <w:r w:rsidR="00CA15FD">
        <w:rPr>
          <w:rFonts w:asciiTheme="majorBidi" w:hAnsiTheme="majorBidi" w:cstheme="majorBidi"/>
          <w:szCs w:val="24"/>
        </w:rPr>
        <w:t>bués …………………………………………………………...36</w:t>
      </w:r>
    </w:p>
    <w:p w:rsidR="00637BB8" w:rsidRDefault="00637BB8" w:rsidP="001D03CE">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°9</w:t>
      </w:r>
      <w:r>
        <w:rPr>
          <w:rFonts w:asciiTheme="majorBidi" w:hAnsiTheme="majorBidi" w:cstheme="majorBidi"/>
          <w:szCs w:val="24"/>
        </w:rPr>
        <w:t xml:space="preserve"> : Evolution des ratios de solvabilités </w:t>
      </w:r>
      <w:r w:rsidR="00CA15FD">
        <w:rPr>
          <w:rFonts w:asciiTheme="majorBidi" w:hAnsiTheme="majorBidi" w:cstheme="majorBidi"/>
          <w:szCs w:val="24"/>
        </w:rPr>
        <w:t>des banques en Algérie ……………….41</w:t>
      </w:r>
    </w:p>
    <w:p w:rsidR="00637BB8" w:rsidRDefault="00637BB8" w:rsidP="001D03CE">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°10</w:t>
      </w:r>
      <w:r>
        <w:rPr>
          <w:rFonts w:asciiTheme="majorBidi" w:hAnsiTheme="majorBidi" w:cstheme="majorBidi"/>
          <w:szCs w:val="24"/>
        </w:rPr>
        <w:t> : Calcul du ratio crédits/dépôt</w:t>
      </w:r>
      <w:r w:rsidR="00CA15FD">
        <w:rPr>
          <w:rFonts w:asciiTheme="majorBidi" w:hAnsiTheme="majorBidi" w:cstheme="majorBidi"/>
          <w:szCs w:val="24"/>
        </w:rPr>
        <w:t>s pour la BDL ………………………………43</w:t>
      </w:r>
    </w:p>
    <w:p w:rsidR="00637BB8" w:rsidRDefault="00637BB8" w:rsidP="001D03CE">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°11</w:t>
      </w:r>
      <w:r>
        <w:rPr>
          <w:rFonts w:asciiTheme="majorBidi" w:hAnsiTheme="majorBidi" w:cstheme="majorBidi"/>
          <w:szCs w:val="24"/>
        </w:rPr>
        <w:t> : Calcul du ratio crédits/dépôts pou</w:t>
      </w:r>
      <w:r w:rsidR="00CA15FD">
        <w:rPr>
          <w:rFonts w:asciiTheme="majorBidi" w:hAnsiTheme="majorBidi" w:cstheme="majorBidi"/>
          <w:szCs w:val="24"/>
        </w:rPr>
        <w:t>r la Société Générale ………………….44</w:t>
      </w:r>
    </w:p>
    <w:p w:rsidR="00637BB8" w:rsidRDefault="00637BB8" w:rsidP="00CA15FD">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°12</w:t>
      </w:r>
      <w:r>
        <w:rPr>
          <w:rFonts w:asciiTheme="majorBidi" w:hAnsiTheme="majorBidi" w:cstheme="majorBidi"/>
          <w:szCs w:val="24"/>
        </w:rPr>
        <w:t> : Ratios prudentiels de la BDL …………………………………………….</w:t>
      </w:r>
      <w:r w:rsidR="00CA15FD">
        <w:rPr>
          <w:rFonts w:asciiTheme="majorBidi" w:hAnsiTheme="majorBidi" w:cstheme="majorBidi"/>
          <w:szCs w:val="24"/>
        </w:rPr>
        <w:t xml:space="preserve"> 45</w:t>
      </w:r>
    </w:p>
    <w:p w:rsidR="00637BB8" w:rsidRDefault="00637BB8" w:rsidP="00CA15FD">
      <w:pPr>
        <w:ind w:firstLine="0"/>
        <w:rPr>
          <w:rFonts w:asciiTheme="majorBidi" w:hAnsiTheme="majorBidi" w:cstheme="majorBidi"/>
          <w:szCs w:val="24"/>
        </w:rPr>
      </w:pPr>
      <w:r>
        <w:rPr>
          <w:rFonts w:asciiTheme="majorBidi" w:hAnsiTheme="majorBidi" w:cstheme="majorBidi"/>
          <w:b/>
          <w:bCs/>
          <w:szCs w:val="24"/>
        </w:rPr>
        <w:t>Tableau N</w:t>
      </w:r>
      <w:r w:rsidRPr="0087635B">
        <w:rPr>
          <w:rFonts w:asciiTheme="majorBidi" w:hAnsiTheme="majorBidi" w:cstheme="majorBidi"/>
          <w:b/>
          <w:bCs/>
          <w:szCs w:val="24"/>
        </w:rPr>
        <w:t>°13</w:t>
      </w:r>
      <w:r>
        <w:rPr>
          <w:rFonts w:asciiTheme="majorBidi" w:hAnsiTheme="majorBidi" w:cstheme="majorBidi"/>
          <w:szCs w:val="24"/>
        </w:rPr>
        <w:t> : ratios prudentiels de la Société Générale …………………………………</w:t>
      </w:r>
      <w:r w:rsidR="00CA15FD">
        <w:rPr>
          <w:rFonts w:asciiTheme="majorBidi" w:hAnsiTheme="majorBidi" w:cstheme="majorBidi"/>
          <w:szCs w:val="24"/>
        </w:rPr>
        <w:t>..45</w:t>
      </w:r>
    </w:p>
    <w:p w:rsidR="00637BB8" w:rsidRDefault="00637BB8" w:rsidP="00B05883">
      <w:pPr>
        <w:ind w:firstLine="0"/>
        <w:rPr>
          <w:rFonts w:asciiTheme="majorBidi" w:hAnsiTheme="majorBidi" w:cstheme="majorBidi"/>
          <w:szCs w:val="24"/>
        </w:rPr>
      </w:pPr>
      <w:r>
        <w:rPr>
          <w:rFonts w:asciiTheme="majorBidi" w:hAnsiTheme="majorBidi" w:cstheme="majorBidi"/>
          <w:b/>
          <w:bCs/>
          <w:szCs w:val="24"/>
        </w:rPr>
        <w:t>Tableau N</w:t>
      </w:r>
      <w:r w:rsidR="00703F39">
        <w:rPr>
          <w:rFonts w:asciiTheme="majorBidi" w:hAnsiTheme="majorBidi" w:cstheme="majorBidi"/>
          <w:b/>
          <w:bCs/>
          <w:szCs w:val="24"/>
        </w:rPr>
        <w:t>°14</w:t>
      </w:r>
      <w:r>
        <w:rPr>
          <w:rFonts w:asciiTheme="majorBidi" w:hAnsiTheme="majorBidi" w:cstheme="majorBidi"/>
          <w:szCs w:val="24"/>
        </w:rPr>
        <w:t xml:space="preserve"> : Reprise de liquidité </w:t>
      </w:r>
      <w:r w:rsidR="00B05883">
        <w:rPr>
          <w:rFonts w:asciiTheme="majorBidi" w:hAnsiTheme="majorBidi" w:cstheme="majorBidi"/>
          <w:szCs w:val="24"/>
        </w:rPr>
        <w:t>…………………….</w:t>
      </w:r>
      <w:r>
        <w:rPr>
          <w:rFonts w:asciiTheme="majorBidi" w:hAnsiTheme="majorBidi" w:cstheme="majorBidi"/>
          <w:szCs w:val="24"/>
        </w:rPr>
        <w:t>…………………………………</w:t>
      </w:r>
      <w:r w:rsidR="00CA15FD">
        <w:rPr>
          <w:rFonts w:asciiTheme="majorBidi" w:hAnsiTheme="majorBidi" w:cstheme="majorBidi"/>
          <w:szCs w:val="24"/>
        </w:rPr>
        <w:t>65</w:t>
      </w:r>
    </w:p>
    <w:p w:rsidR="00637BB8" w:rsidRDefault="00637BB8" w:rsidP="001D03CE">
      <w:pPr>
        <w:ind w:firstLine="0"/>
        <w:rPr>
          <w:rFonts w:asciiTheme="majorBidi" w:hAnsiTheme="majorBidi" w:cstheme="majorBidi"/>
          <w:szCs w:val="24"/>
        </w:rPr>
      </w:pPr>
      <w:r>
        <w:rPr>
          <w:rFonts w:asciiTheme="majorBidi" w:hAnsiTheme="majorBidi" w:cstheme="majorBidi"/>
          <w:b/>
          <w:bCs/>
          <w:szCs w:val="24"/>
        </w:rPr>
        <w:t>Tableau N</w:t>
      </w:r>
      <w:r w:rsidR="00703F39">
        <w:rPr>
          <w:rFonts w:asciiTheme="majorBidi" w:hAnsiTheme="majorBidi" w:cstheme="majorBidi"/>
          <w:b/>
          <w:bCs/>
          <w:szCs w:val="24"/>
        </w:rPr>
        <w:t>°15</w:t>
      </w:r>
      <w:r>
        <w:rPr>
          <w:rFonts w:asciiTheme="majorBidi" w:hAnsiTheme="majorBidi" w:cstheme="majorBidi"/>
          <w:szCs w:val="24"/>
        </w:rPr>
        <w:t> : Taux appliqués aux opérations de r</w:t>
      </w:r>
      <w:r w:rsidR="00CA15FD">
        <w:rPr>
          <w:rFonts w:asciiTheme="majorBidi" w:hAnsiTheme="majorBidi" w:cstheme="majorBidi"/>
          <w:szCs w:val="24"/>
        </w:rPr>
        <w:t>eprise de liquidité …………………...66</w:t>
      </w:r>
    </w:p>
    <w:p w:rsidR="001D03CE" w:rsidRDefault="00703F39" w:rsidP="00CA15FD">
      <w:pPr>
        <w:ind w:firstLine="0"/>
        <w:rPr>
          <w:rFonts w:asciiTheme="majorBidi" w:hAnsiTheme="majorBidi" w:cstheme="majorBidi"/>
          <w:szCs w:val="24"/>
        </w:rPr>
      </w:pPr>
      <w:r>
        <w:rPr>
          <w:rFonts w:asciiTheme="majorBidi" w:hAnsiTheme="majorBidi" w:cstheme="majorBidi"/>
          <w:b/>
          <w:bCs/>
          <w:szCs w:val="24"/>
        </w:rPr>
        <w:t>Tableau N°16</w:t>
      </w:r>
      <w:r w:rsidR="00637BB8" w:rsidRPr="00367FDE">
        <w:rPr>
          <w:rFonts w:asciiTheme="majorBidi" w:hAnsiTheme="majorBidi" w:cstheme="majorBidi"/>
          <w:b/>
          <w:bCs/>
          <w:szCs w:val="24"/>
        </w:rPr>
        <w:t xml:space="preserve"> : </w:t>
      </w:r>
      <w:r w:rsidR="00637BB8">
        <w:rPr>
          <w:rFonts w:asciiTheme="majorBidi" w:hAnsiTheme="majorBidi" w:cstheme="majorBidi"/>
          <w:szCs w:val="24"/>
        </w:rPr>
        <w:t>Montants absorbé</w:t>
      </w:r>
      <w:r w:rsidR="00CA15FD">
        <w:rPr>
          <w:rFonts w:asciiTheme="majorBidi" w:hAnsiTheme="majorBidi" w:cstheme="majorBidi"/>
          <w:szCs w:val="24"/>
        </w:rPr>
        <w:t>s par la BA …………………………………</w:t>
      </w:r>
      <w:r>
        <w:rPr>
          <w:rFonts w:asciiTheme="majorBidi" w:hAnsiTheme="majorBidi" w:cstheme="majorBidi"/>
          <w:szCs w:val="24"/>
        </w:rPr>
        <w:t>……….</w:t>
      </w:r>
      <w:r w:rsidR="00CA15FD">
        <w:rPr>
          <w:rFonts w:asciiTheme="majorBidi" w:hAnsiTheme="majorBidi" w:cstheme="majorBidi"/>
          <w:szCs w:val="24"/>
        </w:rPr>
        <w:t>…66</w:t>
      </w:r>
    </w:p>
    <w:p w:rsidR="00A03CE9" w:rsidRDefault="00A03CE9" w:rsidP="00CA15FD">
      <w:pPr>
        <w:ind w:firstLine="0"/>
        <w:rPr>
          <w:rFonts w:asciiTheme="majorBidi" w:hAnsiTheme="majorBidi" w:cstheme="majorBidi"/>
          <w:szCs w:val="24"/>
        </w:rPr>
        <w:sectPr w:rsidR="00A03CE9" w:rsidSect="00A03CE9">
          <w:headerReference w:type="default" r:id="rId65"/>
          <w:footerReference w:type="default" r:id="rId66"/>
          <w:type w:val="oddPage"/>
          <w:pgSz w:w="11906" w:h="16838"/>
          <w:pgMar w:top="1417" w:right="1417" w:bottom="1417" w:left="1417" w:header="708" w:footer="708" w:gutter="0"/>
          <w:pgNumType w:start="84"/>
          <w:cols w:space="708"/>
          <w:docGrid w:linePitch="360"/>
        </w:sectPr>
      </w:pPr>
    </w:p>
    <w:p w:rsidR="00D41EFB" w:rsidRPr="00D41EFB" w:rsidRDefault="00D41EFB" w:rsidP="00D41EFB">
      <w:pPr>
        <w:ind w:firstLine="0"/>
        <w:jc w:val="center"/>
        <w:rPr>
          <w:rFonts w:asciiTheme="majorBidi" w:hAnsiTheme="majorBidi" w:cstheme="majorBidi"/>
          <w:b/>
          <w:i/>
          <w:sz w:val="48"/>
          <w:szCs w:val="48"/>
        </w:rPr>
      </w:pPr>
      <w:r w:rsidRPr="00D41EFB">
        <w:rPr>
          <w:rFonts w:asciiTheme="majorBidi" w:hAnsiTheme="majorBidi" w:cstheme="majorBidi"/>
          <w:b/>
          <w:i/>
          <w:sz w:val="48"/>
          <w:szCs w:val="48"/>
        </w:rPr>
        <w:lastRenderedPageBreak/>
        <w:t>Liste des annexes</w:t>
      </w:r>
    </w:p>
    <w:p w:rsidR="00865AB1" w:rsidRDefault="00865AB1" w:rsidP="00865AB1">
      <w:pPr>
        <w:ind w:firstLine="0"/>
        <w:rPr>
          <w:rFonts w:asciiTheme="majorBidi" w:hAnsiTheme="majorBidi" w:cstheme="majorBidi"/>
          <w:szCs w:val="24"/>
        </w:rPr>
      </w:pPr>
      <w:r>
        <w:rPr>
          <w:rFonts w:asciiTheme="majorBidi" w:hAnsiTheme="majorBidi" w:cstheme="majorBidi"/>
          <w:szCs w:val="24"/>
        </w:rPr>
        <w:t>Annexe I :……………………………………………………………………………………..71</w:t>
      </w:r>
    </w:p>
    <w:p w:rsidR="00865AB1" w:rsidRDefault="00865AB1" w:rsidP="00865AB1">
      <w:pPr>
        <w:ind w:firstLine="0"/>
        <w:rPr>
          <w:rFonts w:asciiTheme="majorBidi" w:hAnsiTheme="majorBidi" w:cstheme="majorBidi"/>
          <w:szCs w:val="24"/>
        </w:rPr>
      </w:pPr>
      <w:r>
        <w:rPr>
          <w:rFonts w:asciiTheme="majorBidi" w:hAnsiTheme="majorBidi" w:cstheme="majorBidi"/>
          <w:szCs w:val="24"/>
        </w:rPr>
        <w:t>Annexe II :…………………………………………………………………………………..72</w:t>
      </w:r>
    </w:p>
    <w:p w:rsidR="00865AB1" w:rsidRDefault="00865AB1" w:rsidP="00865AB1">
      <w:pPr>
        <w:ind w:firstLine="0"/>
        <w:rPr>
          <w:rFonts w:asciiTheme="majorBidi" w:hAnsiTheme="majorBidi" w:cstheme="majorBidi"/>
          <w:szCs w:val="24"/>
        </w:rPr>
      </w:pPr>
      <w:r>
        <w:rPr>
          <w:rFonts w:asciiTheme="majorBidi" w:hAnsiTheme="majorBidi" w:cstheme="majorBidi"/>
          <w:szCs w:val="24"/>
        </w:rPr>
        <w:t>Annexe III :………………………………………………………………………………….73</w:t>
      </w:r>
    </w:p>
    <w:p w:rsidR="00865AB1" w:rsidRDefault="00865AB1" w:rsidP="00865AB1">
      <w:pPr>
        <w:ind w:firstLine="0"/>
        <w:rPr>
          <w:rFonts w:asciiTheme="majorBidi" w:hAnsiTheme="majorBidi" w:cstheme="majorBidi"/>
          <w:szCs w:val="24"/>
        </w:rPr>
      </w:pPr>
      <w:r>
        <w:rPr>
          <w:rFonts w:asciiTheme="majorBidi" w:hAnsiTheme="majorBidi" w:cstheme="majorBidi"/>
          <w:szCs w:val="24"/>
        </w:rPr>
        <w:t>Annexe IV :………………………………………………………………………………….74</w:t>
      </w:r>
    </w:p>
    <w:p w:rsidR="00865AB1" w:rsidRDefault="00865AB1" w:rsidP="00865AB1">
      <w:pPr>
        <w:ind w:firstLine="0"/>
        <w:rPr>
          <w:rFonts w:asciiTheme="majorBidi" w:hAnsiTheme="majorBidi" w:cstheme="majorBidi"/>
          <w:szCs w:val="24"/>
        </w:rPr>
      </w:pPr>
      <w:r>
        <w:rPr>
          <w:rFonts w:asciiTheme="majorBidi" w:hAnsiTheme="majorBidi" w:cstheme="majorBidi"/>
          <w:szCs w:val="24"/>
        </w:rPr>
        <w:t>Annexe V :…………………………………………………………………………………..75</w:t>
      </w:r>
    </w:p>
    <w:p w:rsidR="00865AB1" w:rsidRDefault="00865AB1" w:rsidP="00865AB1">
      <w:pPr>
        <w:ind w:firstLine="0"/>
        <w:rPr>
          <w:rFonts w:asciiTheme="majorBidi" w:hAnsiTheme="majorBidi" w:cstheme="majorBidi"/>
          <w:szCs w:val="24"/>
        </w:rPr>
      </w:pPr>
      <w:r>
        <w:rPr>
          <w:rFonts w:asciiTheme="majorBidi" w:hAnsiTheme="majorBidi" w:cstheme="majorBidi"/>
          <w:szCs w:val="24"/>
        </w:rPr>
        <w:t>Annexe VI</w:t>
      </w:r>
      <w:r w:rsidR="00126CB3">
        <w:rPr>
          <w:rFonts w:asciiTheme="majorBidi" w:hAnsiTheme="majorBidi" w:cstheme="majorBidi"/>
          <w:szCs w:val="24"/>
        </w:rPr>
        <w:t xml:space="preserve"> (1/2)</w:t>
      </w:r>
      <w:r>
        <w:rPr>
          <w:rFonts w:asciiTheme="majorBidi" w:hAnsiTheme="majorBidi" w:cstheme="majorBidi"/>
          <w:szCs w:val="24"/>
        </w:rPr>
        <w:t> :…………………………………………………………………………….76</w:t>
      </w:r>
    </w:p>
    <w:p w:rsidR="00865AB1" w:rsidRDefault="00865AB1" w:rsidP="00865AB1">
      <w:pPr>
        <w:ind w:firstLine="0"/>
        <w:rPr>
          <w:rFonts w:asciiTheme="majorBidi" w:hAnsiTheme="majorBidi" w:cstheme="majorBidi"/>
          <w:szCs w:val="24"/>
        </w:rPr>
      </w:pPr>
      <w:r>
        <w:rPr>
          <w:rFonts w:asciiTheme="majorBidi" w:hAnsiTheme="majorBidi" w:cstheme="majorBidi"/>
          <w:szCs w:val="24"/>
        </w:rPr>
        <w:t>Annexe</w:t>
      </w:r>
      <w:r w:rsidR="00126CB3">
        <w:rPr>
          <w:rFonts w:asciiTheme="majorBidi" w:hAnsiTheme="majorBidi" w:cstheme="majorBidi"/>
          <w:szCs w:val="24"/>
        </w:rPr>
        <w:t xml:space="preserve"> V</w:t>
      </w:r>
      <w:r>
        <w:rPr>
          <w:rFonts w:asciiTheme="majorBidi" w:hAnsiTheme="majorBidi" w:cstheme="majorBidi"/>
          <w:szCs w:val="24"/>
        </w:rPr>
        <w:t>I</w:t>
      </w:r>
      <w:r w:rsidR="00126CB3">
        <w:rPr>
          <w:rFonts w:asciiTheme="majorBidi" w:hAnsiTheme="majorBidi" w:cstheme="majorBidi"/>
          <w:szCs w:val="24"/>
        </w:rPr>
        <w:t xml:space="preserve"> (2/2)</w:t>
      </w:r>
      <w:r>
        <w:rPr>
          <w:rFonts w:asciiTheme="majorBidi" w:hAnsiTheme="majorBidi" w:cstheme="majorBidi"/>
          <w:szCs w:val="24"/>
        </w:rPr>
        <w:t>:……………………………………………………………………………77</w:t>
      </w:r>
    </w:p>
    <w:p w:rsidR="00865AB1" w:rsidRDefault="00865AB1" w:rsidP="00126CB3">
      <w:pPr>
        <w:ind w:firstLine="0"/>
        <w:rPr>
          <w:rFonts w:asciiTheme="majorBidi" w:hAnsiTheme="majorBidi" w:cstheme="majorBidi"/>
          <w:szCs w:val="24"/>
        </w:rPr>
      </w:pPr>
      <w:r>
        <w:rPr>
          <w:rFonts w:asciiTheme="majorBidi" w:hAnsiTheme="majorBidi" w:cstheme="majorBidi"/>
          <w:szCs w:val="24"/>
        </w:rPr>
        <w:t xml:space="preserve">Annexe </w:t>
      </w:r>
      <w:r w:rsidR="00126CB3">
        <w:rPr>
          <w:rFonts w:asciiTheme="majorBidi" w:hAnsiTheme="majorBidi" w:cstheme="majorBidi"/>
          <w:szCs w:val="24"/>
        </w:rPr>
        <w:t>VII :………………………………………………………………………………...78</w:t>
      </w:r>
    </w:p>
    <w:p w:rsidR="00865AB1" w:rsidRDefault="00865AB1" w:rsidP="00865AB1">
      <w:pPr>
        <w:ind w:firstLine="0"/>
        <w:rPr>
          <w:rFonts w:asciiTheme="majorBidi" w:hAnsiTheme="majorBidi" w:cstheme="majorBidi"/>
          <w:szCs w:val="24"/>
        </w:rPr>
      </w:pPr>
      <w:r>
        <w:rPr>
          <w:rFonts w:asciiTheme="majorBidi" w:hAnsiTheme="majorBidi" w:cstheme="majorBidi"/>
          <w:szCs w:val="24"/>
        </w:rPr>
        <w:t>Annexe</w:t>
      </w:r>
      <w:r w:rsidR="00126CB3">
        <w:rPr>
          <w:rFonts w:asciiTheme="majorBidi" w:hAnsiTheme="majorBidi" w:cstheme="majorBidi"/>
          <w:szCs w:val="24"/>
        </w:rPr>
        <w:t xml:space="preserve"> IIX :…………………………………………………………………………………79</w:t>
      </w:r>
    </w:p>
    <w:p w:rsidR="00865AB1" w:rsidRDefault="00865AB1" w:rsidP="00865AB1">
      <w:pPr>
        <w:ind w:firstLine="0"/>
        <w:rPr>
          <w:rFonts w:asciiTheme="majorBidi" w:hAnsiTheme="majorBidi" w:cstheme="majorBidi"/>
          <w:szCs w:val="24"/>
        </w:rPr>
      </w:pPr>
      <w:r>
        <w:rPr>
          <w:rFonts w:asciiTheme="majorBidi" w:hAnsiTheme="majorBidi" w:cstheme="majorBidi"/>
          <w:szCs w:val="24"/>
        </w:rPr>
        <w:t>Annexe</w:t>
      </w:r>
      <w:r w:rsidR="00126CB3">
        <w:rPr>
          <w:rFonts w:asciiTheme="majorBidi" w:hAnsiTheme="majorBidi" w:cstheme="majorBidi"/>
          <w:szCs w:val="24"/>
        </w:rPr>
        <w:t xml:space="preserve"> IX :…………………………………………………………………………………..80</w:t>
      </w:r>
    </w:p>
    <w:p w:rsidR="00865AB1" w:rsidRDefault="00865AB1" w:rsidP="00865AB1">
      <w:pPr>
        <w:ind w:firstLine="0"/>
        <w:rPr>
          <w:rFonts w:asciiTheme="majorBidi" w:hAnsiTheme="majorBidi" w:cstheme="majorBidi"/>
          <w:szCs w:val="24"/>
        </w:rPr>
      </w:pPr>
      <w:r>
        <w:rPr>
          <w:rFonts w:asciiTheme="majorBidi" w:hAnsiTheme="majorBidi" w:cstheme="majorBidi"/>
          <w:szCs w:val="24"/>
        </w:rPr>
        <w:t>Annexe</w:t>
      </w:r>
      <w:r w:rsidR="00126CB3">
        <w:rPr>
          <w:rFonts w:asciiTheme="majorBidi" w:hAnsiTheme="majorBidi" w:cstheme="majorBidi"/>
          <w:szCs w:val="24"/>
        </w:rPr>
        <w:t xml:space="preserve"> X :……………………………………………………………………………………81</w:t>
      </w:r>
    </w:p>
    <w:p w:rsidR="00126CB3" w:rsidRPr="00CA15FD" w:rsidRDefault="00126CB3" w:rsidP="00865AB1">
      <w:pPr>
        <w:ind w:firstLine="0"/>
        <w:rPr>
          <w:rFonts w:asciiTheme="majorBidi" w:hAnsiTheme="majorBidi" w:cstheme="majorBidi"/>
          <w:szCs w:val="24"/>
        </w:rPr>
        <w:sectPr w:rsidR="00126CB3" w:rsidRPr="00CA15FD" w:rsidSect="00A03CE9">
          <w:headerReference w:type="default" r:id="rId67"/>
          <w:footerReference w:type="default" r:id="rId68"/>
          <w:pgSz w:w="11906" w:h="16838"/>
          <w:pgMar w:top="1417" w:right="1417" w:bottom="1417" w:left="1417" w:header="708" w:footer="708" w:gutter="0"/>
          <w:cols w:space="708"/>
          <w:docGrid w:linePitch="360"/>
        </w:sectPr>
      </w:pPr>
      <w:r>
        <w:rPr>
          <w:rFonts w:asciiTheme="majorBidi" w:hAnsiTheme="majorBidi" w:cstheme="majorBidi"/>
          <w:szCs w:val="24"/>
        </w:rPr>
        <w:t>Annexe XI :………………………………………………………………………………….82</w:t>
      </w:r>
    </w:p>
    <w:p w:rsidR="001D03CE" w:rsidRPr="00FB5DD7" w:rsidRDefault="001D03CE" w:rsidP="001D03CE">
      <w:pPr>
        <w:jc w:val="center"/>
        <w:rPr>
          <w:rFonts w:asciiTheme="majorBidi" w:hAnsiTheme="majorBidi" w:cstheme="majorBidi"/>
          <w:b/>
          <w:bCs/>
          <w:sz w:val="48"/>
          <w:szCs w:val="48"/>
        </w:rPr>
      </w:pPr>
      <w:r w:rsidRPr="00FB5DD7">
        <w:rPr>
          <w:rFonts w:asciiTheme="majorBidi" w:hAnsiTheme="majorBidi" w:cstheme="majorBidi"/>
          <w:b/>
          <w:bCs/>
          <w:sz w:val="48"/>
          <w:szCs w:val="48"/>
        </w:rPr>
        <w:lastRenderedPageBreak/>
        <w:t>Bibliographie</w:t>
      </w:r>
    </w:p>
    <w:p w:rsidR="001D03CE" w:rsidRPr="00FB5DD7" w:rsidRDefault="001D03CE" w:rsidP="00D95740">
      <w:pPr>
        <w:pStyle w:val="Paragraphedeliste"/>
        <w:numPr>
          <w:ilvl w:val="0"/>
          <w:numId w:val="25"/>
        </w:numPr>
        <w:spacing w:before="0" w:after="200"/>
        <w:contextualSpacing/>
        <w:rPr>
          <w:rFonts w:asciiTheme="majorBidi" w:hAnsiTheme="majorBidi" w:cstheme="majorBidi"/>
          <w:b/>
          <w:bCs/>
          <w:sz w:val="28"/>
          <w:szCs w:val="28"/>
        </w:rPr>
      </w:pPr>
      <w:r w:rsidRPr="00FB5DD7">
        <w:rPr>
          <w:rFonts w:asciiTheme="majorBidi" w:hAnsiTheme="majorBidi" w:cstheme="majorBidi"/>
          <w:b/>
          <w:bCs/>
          <w:sz w:val="28"/>
          <w:szCs w:val="28"/>
        </w:rPr>
        <w:t>Ouvrages</w:t>
      </w:r>
    </w:p>
    <w:p w:rsidR="00714909" w:rsidRPr="00714909" w:rsidRDefault="00714909" w:rsidP="00714909">
      <w:pPr>
        <w:pStyle w:val="Paragraphedeliste"/>
        <w:spacing w:before="0" w:after="200"/>
        <w:ind w:left="644" w:firstLine="0"/>
        <w:contextualSpacing/>
        <w:rPr>
          <w:rFonts w:cs="Times New Roman"/>
          <w:b/>
          <w:bCs/>
          <w:szCs w:val="24"/>
        </w:rPr>
      </w:pPr>
    </w:p>
    <w:p w:rsidR="00B05883" w:rsidRPr="001D03CE" w:rsidRDefault="00B05883" w:rsidP="00D95740">
      <w:pPr>
        <w:pStyle w:val="Paragraphedeliste"/>
        <w:numPr>
          <w:ilvl w:val="0"/>
          <w:numId w:val="27"/>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AFTIS</w:t>
      </w:r>
      <w:r>
        <w:rPr>
          <w:rFonts w:asciiTheme="majorBidi" w:hAnsiTheme="majorBidi" w:cstheme="majorBidi"/>
          <w:szCs w:val="24"/>
        </w:rPr>
        <w:t>.H</w:t>
      </w:r>
      <w:r w:rsidRPr="001D03CE">
        <w:rPr>
          <w:rFonts w:asciiTheme="majorBidi" w:hAnsiTheme="majorBidi" w:cstheme="majorBidi"/>
          <w:szCs w:val="24"/>
        </w:rPr>
        <w:t>, Analyse des causes de la surliquidité bancaire et les méthodes de sa gestion, thèse de Magister, UMMTO, 2013.</w:t>
      </w:r>
    </w:p>
    <w:p w:rsidR="00B05883" w:rsidRPr="001D03CE" w:rsidRDefault="00B05883" w:rsidP="00D95740">
      <w:pPr>
        <w:pStyle w:val="Paragraphedeliste"/>
        <w:numPr>
          <w:ilvl w:val="0"/>
          <w:numId w:val="26"/>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BENISSAD</w:t>
      </w:r>
      <w:r>
        <w:rPr>
          <w:rFonts w:asciiTheme="majorBidi" w:hAnsiTheme="majorBidi" w:cstheme="majorBidi"/>
          <w:szCs w:val="24"/>
        </w:rPr>
        <w:t>.H, la</w:t>
      </w:r>
      <w:r w:rsidRPr="001D03CE">
        <w:rPr>
          <w:rFonts w:asciiTheme="majorBidi" w:hAnsiTheme="majorBidi" w:cstheme="majorBidi"/>
          <w:szCs w:val="24"/>
        </w:rPr>
        <w:t xml:space="preserve"> réforme économique en Algérie, OPU, 1991.</w:t>
      </w:r>
    </w:p>
    <w:p w:rsidR="00B05883" w:rsidRPr="001D03CE" w:rsidRDefault="00B05883" w:rsidP="00D95740">
      <w:pPr>
        <w:pStyle w:val="Paragraphedeliste"/>
        <w:numPr>
          <w:ilvl w:val="0"/>
          <w:numId w:val="26"/>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BERNET-</w:t>
      </w:r>
      <w:proofErr w:type="spellStart"/>
      <w:r w:rsidRPr="001D03CE">
        <w:rPr>
          <w:rFonts w:asciiTheme="majorBidi" w:hAnsiTheme="majorBidi" w:cstheme="majorBidi"/>
          <w:szCs w:val="24"/>
        </w:rPr>
        <w:t>ROLLANLuc</w:t>
      </w:r>
      <w:proofErr w:type="spellEnd"/>
      <w:r>
        <w:rPr>
          <w:rFonts w:asciiTheme="majorBidi" w:hAnsiTheme="majorBidi" w:cstheme="majorBidi"/>
          <w:szCs w:val="24"/>
        </w:rPr>
        <w:t>, P</w:t>
      </w:r>
      <w:r w:rsidRPr="001D03CE">
        <w:rPr>
          <w:rFonts w:asciiTheme="majorBidi" w:hAnsiTheme="majorBidi" w:cstheme="majorBidi"/>
          <w:szCs w:val="24"/>
        </w:rPr>
        <w:t xml:space="preserve">rincipe </w:t>
      </w:r>
      <w:r>
        <w:rPr>
          <w:rFonts w:asciiTheme="majorBidi" w:hAnsiTheme="majorBidi" w:cstheme="majorBidi"/>
          <w:szCs w:val="24"/>
        </w:rPr>
        <w:t>et</w:t>
      </w:r>
      <w:r w:rsidRPr="001D03CE">
        <w:rPr>
          <w:rFonts w:asciiTheme="majorBidi" w:hAnsiTheme="majorBidi" w:cstheme="majorBidi"/>
          <w:szCs w:val="24"/>
        </w:rPr>
        <w:t xml:space="preserve"> techniques bancaire, 25</w:t>
      </w:r>
      <w:r w:rsidRPr="001D03CE">
        <w:rPr>
          <w:rFonts w:asciiTheme="majorBidi" w:hAnsiTheme="majorBidi" w:cstheme="majorBidi"/>
          <w:szCs w:val="24"/>
          <w:vertAlign w:val="superscript"/>
        </w:rPr>
        <w:t>e</w:t>
      </w:r>
      <w:r w:rsidRPr="001D03CE">
        <w:rPr>
          <w:rFonts w:asciiTheme="majorBidi" w:hAnsiTheme="majorBidi" w:cstheme="majorBidi"/>
          <w:szCs w:val="24"/>
        </w:rPr>
        <w:t xml:space="preserve"> Edition </w:t>
      </w:r>
      <w:proofErr w:type="spellStart"/>
      <w:r w:rsidRPr="001D03CE">
        <w:rPr>
          <w:rFonts w:asciiTheme="majorBidi" w:hAnsiTheme="majorBidi" w:cstheme="majorBidi"/>
          <w:szCs w:val="24"/>
        </w:rPr>
        <w:t>Dunod</w:t>
      </w:r>
      <w:proofErr w:type="spellEnd"/>
      <w:r w:rsidRPr="001D03CE">
        <w:rPr>
          <w:rFonts w:asciiTheme="majorBidi" w:hAnsiTheme="majorBidi" w:cstheme="majorBidi"/>
          <w:szCs w:val="24"/>
        </w:rPr>
        <w:t>, Paris 2008.</w:t>
      </w:r>
    </w:p>
    <w:p w:rsidR="00B05883" w:rsidRPr="001D03CE" w:rsidRDefault="00B05883" w:rsidP="00D95740">
      <w:pPr>
        <w:pStyle w:val="Paragraphedeliste"/>
        <w:numPr>
          <w:ilvl w:val="0"/>
          <w:numId w:val="26"/>
        </w:numPr>
        <w:spacing w:before="0" w:after="200"/>
        <w:ind w:left="567"/>
        <w:contextualSpacing/>
        <w:rPr>
          <w:rFonts w:asciiTheme="majorBidi" w:hAnsiTheme="majorBidi" w:cstheme="majorBidi"/>
          <w:b/>
          <w:bCs/>
          <w:szCs w:val="24"/>
        </w:rPr>
      </w:pPr>
      <w:r>
        <w:rPr>
          <w:rFonts w:asciiTheme="majorBidi" w:hAnsiTheme="majorBidi" w:cstheme="majorBidi"/>
          <w:szCs w:val="24"/>
        </w:rPr>
        <w:t>BEZIADE.</w:t>
      </w:r>
      <w:r w:rsidRPr="001D03CE">
        <w:rPr>
          <w:rFonts w:asciiTheme="majorBidi" w:hAnsiTheme="majorBidi" w:cstheme="majorBidi"/>
          <w:szCs w:val="24"/>
        </w:rPr>
        <w:t xml:space="preserve"> M, La monnaie,  Masson, 1986</w:t>
      </w:r>
      <w:r>
        <w:rPr>
          <w:rFonts w:asciiTheme="majorBidi" w:hAnsiTheme="majorBidi" w:cstheme="majorBidi"/>
          <w:szCs w:val="24"/>
        </w:rPr>
        <w:t>.</w:t>
      </w:r>
    </w:p>
    <w:p w:rsidR="00B05883" w:rsidRPr="001D03CE" w:rsidRDefault="00B05883" w:rsidP="00D95740">
      <w:pPr>
        <w:pStyle w:val="Paragraphedeliste"/>
        <w:numPr>
          <w:ilvl w:val="0"/>
          <w:numId w:val="26"/>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CHOINEL</w:t>
      </w:r>
      <w:r>
        <w:rPr>
          <w:rFonts w:asciiTheme="majorBidi" w:hAnsiTheme="majorBidi" w:cstheme="majorBidi"/>
          <w:szCs w:val="24"/>
        </w:rPr>
        <w:t>.A,</w:t>
      </w:r>
      <w:r w:rsidRPr="001D03CE">
        <w:rPr>
          <w:rFonts w:asciiTheme="majorBidi" w:hAnsiTheme="majorBidi" w:cstheme="majorBidi"/>
          <w:szCs w:val="24"/>
        </w:rPr>
        <w:t xml:space="preserve"> le système bancaire et financier, approche française et européenne,</w:t>
      </w:r>
      <w:r>
        <w:rPr>
          <w:rFonts w:asciiTheme="majorBidi" w:hAnsiTheme="majorBidi" w:cstheme="majorBidi"/>
          <w:szCs w:val="24"/>
        </w:rPr>
        <w:t xml:space="preserve"> Revue B</w:t>
      </w:r>
      <w:r w:rsidRPr="001D03CE">
        <w:rPr>
          <w:rFonts w:asciiTheme="majorBidi" w:hAnsiTheme="majorBidi" w:cstheme="majorBidi"/>
          <w:szCs w:val="24"/>
        </w:rPr>
        <w:t>anque</w:t>
      </w:r>
      <w:r>
        <w:rPr>
          <w:rFonts w:asciiTheme="majorBidi" w:hAnsiTheme="majorBidi" w:cstheme="majorBidi"/>
          <w:szCs w:val="24"/>
        </w:rPr>
        <w:t>, P</w:t>
      </w:r>
      <w:r w:rsidRPr="001D03CE">
        <w:rPr>
          <w:rFonts w:asciiTheme="majorBidi" w:hAnsiTheme="majorBidi" w:cstheme="majorBidi"/>
          <w:szCs w:val="24"/>
        </w:rPr>
        <w:t>aris, 2002</w:t>
      </w:r>
      <w:r>
        <w:rPr>
          <w:rFonts w:asciiTheme="majorBidi" w:hAnsiTheme="majorBidi" w:cstheme="majorBidi"/>
          <w:szCs w:val="24"/>
        </w:rPr>
        <w:t>.</w:t>
      </w:r>
    </w:p>
    <w:p w:rsidR="00B05883" w:rsidRPr="001D03CE" w:rsidRDefault="00B05883" w:rsidP="00D95740">
      <w:pPr>
        <w:pStyle w:val="Paragraphedeliste"/>
        <w:numPr>
          <w:ilvl w:val="0"/>
          <w:numId w:val="26"/>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FERRANDIER et KOEN.V, Marchés de capitaux et techniques financ</w:t>
      </w:r>
      <w:r>
        <w:rPr>
          <w:rFonts w:asciiTheme="majorBidi" w:hAnsiTheme="majorBidi" w:cstheme="majorBidi"/>
          <w:szCs w:val="24"/>
        </w:rPr>
        <w:t xml:space="preserve">ières, édition </w:t>
      </w:r>
      <w:proofErr w:type="spellStart"/>
      <w:r>
        <w:rPr>
          <w:rFonts w:asciiTheme="majorBidi" w:hAnsiTheme="majorBidi" w:cstheme="majorBidi"/>
          <w:szCs w:val="24"/>
        </w:rPr>
        <w:t>Economica</w:t>
      </w:r>
      <w:proofErr w:type="spellEnd"/>
      <w:r>
        <w:rPr>
          <w:rFonts w:asciiTheme="majorBidi" w:hAnsiTheme="majorBidi" w:cstheme="majorBidi"/>
          <w:szCs w:val="24"/>
        </w:rPr>
        <w:t>, 1997.</w:t>
      </w:r>
    </w:p>
    <w:p w:rsidR="00B05883" w:rsidRPr="001D03CE" w:rsidRDefault="00B05883" w:rsidP="00D95740">
      <w:pPr>
        <w:pStyle w:val="Paragraphedeliste"/>
        <w:numPr>
          <w:ilvl w:val="0"/>
          <w:numId w:val="26"/>
        </w:numPr>
        <w:spacing w:before="0" w:after="200"/>
        <w:ind w:left="567"/>
        <w:contextualSpacing/>
        <w:rPr>
          <w:rFonts w:asciiTheme="majorBidi" w:hAnsiTheme="majorBidi" w:cstheme="majorBidi"/>
          <w:b/>
          <w:bCs/>
          <w:szCs w:val="24"/>
        </w:rPr>
      </w:pPr>
      <w:r>
        <w:rPr>
          <w:rFonts w:asciiTheme="majorBidi" w:hAnsiTheme="majorBidi" w:cstheme="majorBidi"/>
          <w:szCs w:val="24"/>
        </w:rPr>
        <w:t xml:space="preserve">HASSAM </w:t>
      </w:r>
      <w:proofErr w:type="spellStart"/>
      <w:r w:rsidRPr="001D03CE">
        <w:rPr>
          <w:rFonts w:asciiTheme="majorBidi" w:hAnsiTheme="majorBidi" w:cstheme="majorBidi"/>
          <w:szCs w:val="24"/>
        </w:rPr>
        <w:t>Fodil</w:t>
      </w:r>
      <w:proofErr w:type="spellEnd"/>
      <w:r>
        <w:rPr>
          <w:rFonts w:asciiTheme="majorBidi" w:hAnsiTheme="majorBidi" w:cstheme="majorBidi"/>
          <w:szCs w:val="24"/>
        </w:rPr>
        <w:t>,</w:t>
      </w:r>
      <w:r w:rsidRPr="001D03CE">
        <w:rPr>
          <w:rFonts w:asciiTheme="majorBidi" w:hAnsiTheme="majorBidi" w:cstheme="majorBidi"/>
          <w:szCs w:val="24"/>
        </w:rPr>
        <w:t xml:space="preserve"> Le système Bancaire Algérien, </w:t>
      </w:r>
      <w:r>
        <w:rPr>
          <w:rFonts w:asciiTheme="majorBidi" w:hAnsiTheme="majorBidi" w:cstheme="majorBidi"/>
          <w:szCs w:val="24"/>
        </w:rPr>
        <w:t>l’E</w:t>
      </w:r>
      <w:r w:rsidRPr="001D03CE">
        <w:rPr>
          <w:rFonts w:asciiTheme="majorBidi" w:hAnsiTheme="majorBidi" w:cstheme="majorBidi"/>
          <w:szCs w:val="24"/>
        </w:rPr>
        <w:t>conomiste d’Algérie, Alger</w:t>
      </w:r>
      <w:r>
        <w:rPr>
          <w:rFonts w:asciiTheme="majorBidi" w:hAnsiTheme="majorBidi" w:cstheme="majorBidi"/>
          <w:szCs w:val="24"/>
        </w:rPr>
        <w:t>, 2012.</w:t>
      </w:r>
    </w:p>
    <w:p w:rsidR="00B05883" w:rsidRPr="001D03CE" w:rsidRDefault="00B05883" w:rsidP="00D95740">
      <w:pPr>
        <w:pStyle w:val="Paragraphedeliste"/>
        <w:numPr>
          <w:ilvl w:val="0"/>
          <w:numId w:val="27"/>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 xml:space="preserve">JACKSON </w:t>
      </w:r>
      <w:proofErr w:type="spellStart"/>
      <w:r w:rsidRPr="001D03CE">
        <w:rPr>
          <w:rFonts w:asciiTheme="majorBidi" w:hAnsiTheme="majorBidi" w:cstheme="majorBidi"/>
          <w:szCs w:val="24"/>
        </w:rPr>
        <w:t>NgwaEdielle</w:t>
      </w:r>
      <w:proofErr w:type="spellEnd"/>
      <w:r w:rsidRPr="001D03CE">
        <w:rPr>
          <w:rFonts w:asciiTheme="majorBidi" w:hAnsiTheme="majorBidi" w:cstheme="majorBidi"/>
          <w:szCs w:val="24"/>
        </w:rPr>
        <w:t>, mémoire, Efficience des banques dans la CEMAC, Institut Sous Régionale de Statistique et d’Economie Appliquée, 2007.</w:t>
      </w:r>
    </w:p>
    <w:p w:rsidR="00B05883" w:rsidRPr="001D03CE" w:rsidRDefault="00B05883" w:rsidP="00D95740">
      <w:pPr>
        <w:pStyle w:val="Paragraphedeliste"/>
        <w:numPr>
          <w:ilvl w:val="0"/>
          <w:numId w:val="27"/>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 xml:space="preserve">M.A, Etude analytique d'un financement bancaire "Crédit d'investissement" cas CNEP/BANQUE, mémoire de licence, Université Mouloud Mammeri Tizi </w:t>
      </w:r>
      <w:proofErr w:type="spellStart"/>
      <w:r w:rsidRPr="001D03CE">
        <w:rPr>
          <w:rFonts w:asciiTheme="majorBidi" w:hAnsiTheme="majorBidi" w:cstheme="majorBidi"/>
          <w:szCs w:val="24"/>
        </w:rPr>
        <w:t>ouzou</w:t>
      </w:r>
      <w:proofErr w:type="spellEnd"/>
      <w:r w:rsidRPr="001D03CE">
        <w:rPr>
          <w:rFonts w:asciiTheme="majorBidi" w:hAnsiTheme="majorBidi" w:cstheme="majorBidi"/>
          <w:szCs w:val="24"/>
        </w:rPr>
        <w:t> - Licence en sciences économiques, 2008.</w:t>
      </w:r>
    </w:p>
    <w:p w:rsidR="00B05883" w:rsidRPr="001D03CE" w:rsidRDefault="00B05883" w:rsidP="00D95740">
      <w:pPr>
        <w:pStyle w:val="Paragraphedeliste"/>
        <w:numPr>
          <w:ilvl w:val="0"/>
          <w:numId w:val="26"/>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MANSOURI</w:t>
      </w:r>
      <w:r>
        <w:rPr>
          <w:rFonts w:asciiTheme="majorBidi" w:hAnsiTheme="majorBidi" w:cstheme="majorBidi"/>
          <w:szCs w:val="24"/>
        </w:rPr>
        <w:t>.</w:t>
      </w:r>
      <w:r w:rsidRPr="001D03CE">
        <w:rPr>
          <w:rFonts w:asciiTheme="majorBidi" w:hAnsiTheme="majorBidi" w:cstheme="majorBidi"/>
          <w:szCs w:val="24"/>
        </w:rPr>
        <w:t>M</w:t>
      </w:r>
      <w:r>
        <w:rPr>
          <w:rFonts w:asciiTheme="majorBidi" w:hAnsiTheme="majorBidi" w:cstheme="majorBidi"/>
          <w:szCs w:val="24"/>
        </w:rPr>
        <w:t>, S</w:t>
      </w:r>
      <w:r w:rsidRPr="001D03CE">
        <w:rPr>
          <w:rFonts w:asciiTheme="majorBidi" w:hAnsiTheme="majorBidi" w:cstheme="majorBidi"/>
          <w:szCs w:val="24"/>
        </w:rPr>
        <w:t>ystème et pratiques bancaires en Algérie, 2005, Alger.</w:t>
      </w:r>
    </w:p>
    <w:p w:rsidR="00B05883" w:rsidRPr="00714909" w:rsidRDefault="00B05883" w:rsidP="00D95740">
      <w:pPr>
        <w:pStyle w:val="Notedebasdepage"/>
        <w:numPr>
          <w:ilvl w:val="0"/>
          <w:numId w:val="26"/>
        </w:numPr>
        <w:spacing w:before="0" w:after="200"/>
        <w:ind w:left="567"/>
        <w:contextualSpacing/>
        <w:rPr>
          <w:rFonts w:cs="Times New Roman"/>
          <w:sz w:val="24"/>
          <w:szCs w:val="24"/>
        </w:rPr>
      </w:pPr>
      <w:r w:rsidRPr="00714909">
        <w:rPr>
          <w:rFonts w:asciiTheme="majorBidi" w:hAnsiTheme="majorBidi" w:cstheme="majorBidi"/>
          <w:sz w:val="24"/>
          <w:szCs w:val="24"/>
        </w:rPr>
        <w:t xml:space="preserve">MISHKIN </w:t>
      </w:r>
      <w:proofErr w:type="spellStart"/>
      <w:r w:rsidRPr="00714909">
        <w:rPr>
          <w:rFonts w:asciiTheme="majorBidi" w:hAnsiTheme="majorBidi" w:cstheme="majorBidi"/>
          <w:sz w:val="24"/>
          <w:szCs w:val="24"/>
        </w:rPr>
        <w:t>Frederic</w:t>
      </w:r>
      <w:proofErr w:type="spellEnd"/>
      <w:r w:rsidRPr="00714909">
        <w:rPr>
          <w:rFonts w:asciiTheme="majorBidi" w:hAnsiTheme="majorBidi" w:cstheme="majorBidi"/>
          <w:sz w:val="24"/>
          <w:szCs w:val="24"/>
        </w:rPr>
        <w:t xml:space="preserve">, </w:t>
      </w:r>
      <w:r w:rsidRPr="00714909">
        <w:rPr>
          <w:rFonts w:cs="Times New Roman"/>
          <w:color w:val="000000"/>
          <w:sz w:val="24"/>
          <w:szCs w:val="24"/>
        </w:rPr>
        <w:t>Monnaie, banque et marché financier, Pearson Education, 2004</w:t>
      </w:r>
      <w:r>
        <w:rPr>
          <w:rFonts w:cs="Times New Roman"/>
          <w:color w:val="000000"/>
          <w:sz w:val="24"/>
          <w:szCs w:val="24"/>
        </w:rPr>
        <w:t>.</w:t>
      </w:r>
    </w:p>
    <w:p w:rsidR="00B05883" w:rsidRPr="001D03CE" w:rsidRDefault="00B05883" w:rsidP="00D95740">
      <w:pPr>
        <w:pStyle w:val="Paragraphedeliste"/>
        <w:numPr>
          <w:ilvl w:val="0"/>
          <w:numId w:val="26"/>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NASS</w:t>
      </w:r>
      <w:r>
        <w:rPr>
          <w:rFonts w:asciiTheme="majorBidi" w:hAnsiTheme="majorBidi" w:cstheme="majorBidi"/>
          <w:szCs w:val="24"/>
        </w:rPr>
        <w:t xml:space="preserve"> Abdelkrim</w:t>
      </w:r>
      <w:r w:rsidRPr="001D03CE">
        <w:rPr>
          <w:rFonts w:asciiTheme="majorBidi" w:hAnsiTheme="majorBidi" w:cstheme="majorBidi"/>
          <w:szCs w:val="24"/>
        </w:rPr>
        <w:t>, le système bancaire algérien : de la décolonisation à l’éco</w:t>
      </w:r>
      <w:r>
        <w:rPr>
          <w:rFonts w:asciiTheme="majorBidi" w:hAnsiTheme="majorBidi" w:cstheme="majorBidi"/>
          <w:szCs w:val="24"/>
        </w:rPr>
        <w:t>nomie de marché, édition INAS, P</w:t>
      </w:r>
      <w:r w:rsidRPr="001D03CE">
        <w:rPr>
          <w:rFonts w:asciiTheme="majorBidi" w:hAnsiTheme="majorBidi" w:cstheme="majorBidi"/>
          <w:szCs w:val="24"/>
        </w:rPr>
        <w:t>aris</w:t>
      </w:r>
      <w:r>
        <w:rPr>
          <w:rFonts w:asciiTheme="majorBidi" w:hAnsiTheme="majorBidi" w:cstheme="majorBidi"/>
          <w:szCs w:val="24"/>
        </w:rPr>
        <w:t>,</w:t>
      </w:r>
      <w:r w:rsidRPr="001D03CE">
        <w:rPr>
          <w:rFonts w:asciiTheme="majorBidi" w:hAnsiTheme="majorBidi" w:cstheme="majorBidi"/>
          <w:szCs w:val="24"/>
        </w:rPr>
        <w:t xml:space="preserve"> 2003</w:t>
      </w:r>
      <w:r>
        <w:rPr>
          <w:rFonts w:asciiTheme="majorBidi" w:hAnsiTheme="majorBidi" w:cstheme="majorBidi"/>
          <w:szCs w:val="24"/>
        </w:rPr>
        <w:t>.</w:t>
      </w:r>
    </w:p>
    <w:p w:rsidR="00B05883" w:rsidRPr="001D03CE" w:rsidRDefault="00B05883" w:rsidP="00D95740">
      <w:pPr>
        <w:pStyle w:val="Paragraphedeliste"/>
        <w:numPr>
          <w:ilvl w:val="0"/>
          <w:numId w:val="30"/>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 xml:space="preserve">NGAH, Berlin Sidoine, </w:t>
      </w:r>
      <w:r w:rsidRPr="001D03CE">
        <w:rPr>
          <w:rFonts w:asciiTheme="majorBidi" w:hAnsiTheme="majorBidi" w:cstheme="majorBidi"/>
          <w:kern w:val="36"/>
          <w:szCs w:val="24"/>
        </w:rPr>
        <w:t xml:space="preserve">Les interventions de la BEAC dans le cadre du marché monétaire et le problème de surliquidité des banques au Cameroun, </w:t>
      </w:r>
      <w:proofErr w:type="spellStart"/>
      <w:r w:rsidRPr="001D03CE">
        <w:rPr>
          <w:rFonts w:asciiTheme="majorBidi" w:hAnsiTheme="majorBidi" w:cstheme="majorBidi"/>
          <w:szCs w:val="24"/>
        </w:rPr>
        <w:t>Ngaoundéré'sUniversity</w:t>
      </w:r>
      <w:proofErr w:type="spellEnd"/>
      <w:r w:rsidRPr="001D03CE">
        <w:rPr>
          <w:rFonts w:asciiTheme="majorBidi" w:hAnsiTheme="majorBidi" w:cstheme="majorBidi"/>
          <w:szCs w:val="24"/>
        </w:rPr>
        <w:t> - Licence Professionnelle en Comptabilité et Finance 2010.</w:t>
      </w:r>
    </w:p>
    <w:p w:rsidR="00B05883" w:rsidRPr="00714909" w:rsidRDefault="00B05883" w:rsidP="00D95740">
      <w:pPr>
        <w:pStyle w:val="Paragraphedeliste"/>
        <w:numPr>
          <w:ilvl w:val="0"/>
          <w:numId w:val="26"/>
        </w:numPr>
        <w:spacing w:before="0" w:after="200"/>
        <w:contextualSpacing/>
        <w:rPr>
          <w:rFonts w:cs="Times New Roman"/>
          <w:b/>
          <w:bCs/>
          <w:szCs w:val="24"/>
        </w:rPr>
      </w:pPr>
      <w:r w:rsidRPr="00714909">
        <w:rPr>
          <w:rFonts w:asciiTheme="majorBidi" w:hAnsiTheme="majorBidi" w:cstheme="majorBidi"/>
          <w:szCs w:val="24"/>
        </w:rPr>
        <w:t xml:space="preserve">POULON Fréderic, Economie générale, </w:t>
      </w:r>
      <w:proofErr w:type="spellStart"/>
      <w:r w:rsidRPr="00714909">
        <w:rPr>
          <w:rFonts w:asciiTheme="majorBidi" w:hAnsiTheme="majorBidi" w:cstheme="majorBidi"/>
          <w:szCs w:val="24"/>
        </w:rPr>
        <w:t>Dunod</w:t>
      </w:r>
      <w:proofErr w:type="spellEnd"/>
      <w:r w:rsidRPr="00714909">
        <w:rPr>
          <w:rFonts w:asciiTheme="majorBidi" w:hAnsiTheme="majorBidi" w:cstheme="majorBidi"/>
          <w:szCs w:val="24"/>
        </w:rPr>
        <w:t>, Paris ,1984</w:t>
      </w:r>
    </w:p>
    <w:p w:rsidR="00B05883" w:rsidRPr="00B05883" w:rsidRDefault="00B05883" w:rsidP="00D95740">
      <w:pPr>
        <w:pStyle w:val="Paragraphedeliste"/>
        <w:numPr>
          <w:ilvl w:val="0"/>
          <w:numId w:val="26"/>
        </w:numPr>
        <w:spacing w:before="0" w:after="200"/>
        <w:ind w:left="567"/>
        <w:contextualSpacing/>
        <w:rPr>
          <w:rFonts w:cs="Times New Roman"/>
          <w:b/>
          <w:bCs/>
          <w:szCs w:val="24"/>
        </w:rPr>
      </w:pPr>
      <w:r w:rsidRPr="00714909">
        <w:rPr>
          <w:rFonts w:cs="Times New Roman"/>
          <w:szCs w:val="24"/>
        </w:rPr>
        <w:t>PUPION Pierre-</w:t>
      </w:r>
      <w:r>
        <w:rPr>
          <w:rFonts w:cs="Times New Roman"/>
          <w:szCs w:val="24"/>
        </w:rPr>
        <w:t>C</w:t>
      </w:r>
      <w:r w:rsidRPr="00714909">
        <w:rPr>
          <w:rFonts w:cs="Times New Roman"/>
          <w:szCs w:val="24"/>
        </w:rPr>
        <w:t>harles, « Economie et gestion bancai</w:t>
      </w:r>
      <w:r>
        <w:rPr>
          <w:rFonts w:cs="Times New Roman"/>
          <w:szCs w:val="24"/>
        </w:rPr>
        <w:t>re, Edition DUNOD, Paris, 1999.</w:t>
      </w:r>
    </w:p>
    <w:p w:rsidR="00B05883" w:rsidRDefault="00B05883" w:rsidP="00B05883">
      <w:pPr>
        <w:pStyle w:val="Paragraphedeliste"/>
        <w:spacing w:before="0" w:after="200"/>
        <w:ind w:left="567" w:firstLine="0"/>
        <w:contextualSpacing/>
        <w:rPr>
          <w:rFonts w:cs="Times New Roman"/>
          <w:szCs w:val="24"/>
        </w:rPr>
      </w:pPr>
    </w:p>
    <w:p w:rsidR="00B05883" w:rsidRDefault="00B05883" w:rsidP="00B05883">
      <w:pPr>
        <w:pStyle w:val="Paragraphedeliste"/>
        <w:spacing w:before="0" w:after="200"/>
        <w:ind w:left="567" w:firstLine="0"/>
        <w:contextualSpacing/>
        <w:rPr>
          <w:rFonts w:cs="Times New Roman"/>
          <w:szCs w:val="24"/>
        </w:rPr>
      </w:pPr>
    </w:p>
    <w:p w:rsidR="00B05883" w:rsidRPr="00714909" w:rsidRDefault="00B05883" w:rsidP="00B05883">
      <w:pPr>
        <w:pStyle w:val="Paragraphedeliste"/>
        <w:spacing w:before="0" w:after="200"/>
        <w:ind w:left="567" w:firstLine="0"/>
        <w:contextualSpacing/>
        <w:rPr>
          <w:rFonts w:cs="Times New Roman"/>
          <w:b/>
          <w:bCs/>
          <w:szCs w:val="24"/>
        </w:rPr>
      </w:pPr>
    </w:p>
    <w:p w:rsidR="00B05883" w:rsidRPr="00FB5DD7" w:rsidRDefault="00B05883" w:rsidP="00D95740">
      <w:pPr>
        <w:pStyle w:val="Paragraphedeliste"/>
        <w:numPr>
          <w:ilvl w:val="0"/>
          <w:numId w:val="25"/>
        </w:numPr>
        <w:spacing w:before="0" w:after="200"/>
        <w:contextualSpacing/>
        <w:rPr>
          <w:rFonts w:asciiTheme="majorBidi" w:hAnsiTheme="majorBidi" w:cstheme="majorBidi"/>
          <w:b/>
          <w:bCs/>
          <w:sz w:val="28"/>
          <w:szCs w:val="28"/>
        </w:rPr>
      </w:pPr>
      <w:r w:rsidRPr="00FB5DD7">
        <w:rPr>
          <w:rFonts w:asciiTheme="majorBidi" w:hAnsiTheme="majorBidi" w:cstheme="majorBidi"/>
          <w:b/>
          <w:bCs/>
          <w:sz w:val="28"/>
          <w:szCs w:val="28"/>
        </w:rPr>
        <w:lastRenderedPageBreak/>
        <w:t>Thèses et mémoires :</w:t>
      </w:r>
    </w:p>
    <w:p w:rsidR="00B05883" w:rsidRPr="001D03CE" w:rsidRDefault="00B05883" w:rsidP="00D95740">
      <w:pPr>
        <w:pStyle w:val="Paragraphedeliste"/>
        <w:numPr>
          <w:ilvl w:val="0"/>
          <w:numId w:val="27"/>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WELAKWE Nina Madeleine, analyse critique de la régulation de la liquidité bancaire par une banque centrale communautaire et sa contribution au processus d'intégration régionale: Le cas de la Banque des Etats de l'Afrique Centrale (BEAC), Université Catholique d'Afrique Centrale - Maîtrise en Economie de Gestion 2006.</w:t>
      </w:r>
    </w:p>
    <w:p w:rsidR="00B05883" w:rsidRPr="001D03CE" w:rsidRDefault="00B05883" w:rsidP="00D95740">
      <w:pPr>
        <w:pStyle w:val="Paragraphedeliste"/>
        <w:numPr>
          <w:ilvl w:val="0"/>
          <w:numId w:val="27"/>
        </w:numPr>
        <w:spacing w:before="0" w:after="200"/>
        <w:ind w:left="567"/>
        <w:contextualSpacing/>
        <w:rPr>
          <w:rFonts w:asciiTheme="majorBidi" w:hAnsiTheme="majorBidi" w:cstheme="majorBidi"/>
          <w:b/>
          <w:bCs/>
          <w:szCs w:val="24"/>
        </w:rPr>
      </w:pPr>
      <w:r w:rsidRPr="001D03CE">
        <w:rPr>
          <w:rFonts w:asciiTheme="majorBidi" w:hAnsiTheme="majorBidi" w:cstheme="majorBidi"/>
          <w:szCs w:val="24"/>
        </w:rPr>
        <w:t>ZOURDANI</w:t>
      </w:r>
      <w:r>
        <w:rPr>
          <w:rFonts w:asciiTheme="majorBidi" w:hAnsiTheme="majorBidi" w:cstheme="majorBidi"/>
          <w:szCs w:val="24"/>
        </w:rPr>
        <w:t>.S</w:t>
      </w:r>
      <w:r w:rsidRPr="001D03CE">
        <w:rPr>
          <w:rFonts w:asciiTheme="majorBidi" w:hAnsiTheme="majorBidi" w:cstheme="majorBidi"/>
          <w:szCs w:val="24"/>
        </w:rPr>
        <w:t>, le financement du commerce extérieur en Algérie, cas (BNA), thèse de Magister en Sciences Economiques, universi</w:t>
      </w:r>
      <w:r>
        <w:rPr>
          <w:rFonts w:asciiTheme="majorBidi" w:hAnsiTheme="majorBidi" w:cstheme="majorBidi"/>
          <w:szCs w:val="24"/>
        </w:rPr>
        <w:t>té Mouloud MAMMERI, Tizi Ouzou.</w:t>
      </w:r>
    </w:p>
    <w:p w:rsidR="001D03CE" w:rsidRPr="001D03CE" w:rsidRDefault="001D03CE" w:rsidP="001D03CE">
      <w:pPr>
        <w:pStyle w:val="Paragraphedeliste"/>
        <w:spacing w:before="0" w:after="200"/>
        <w:ind w:firstLine="0"/>
        <w:contextualSpacing/>
        <w:rPr>
          <w:rFonts w:asciiTheme="majorBidi" w:hAnsiTheme="majorBidi" w:cstheme="majorBidi"/>
          <w:b/>
          <w:bCs/>
          <w:sz w:val="28"/>
          <w:szCs w:val="28"/>
        </w:rPr>
      </w:pPr>
    </w:p>
    <w:p w:rsidR="001D03CE" w:rsidRDefault="001D03CE" w:rsidP="00D95740">
      <w:pPr>
        <w:pStyle w:val="Paragraphedeliste"/>
        <w:numPr>
          <w:ilvl w:val="0"/>
          <w:numId w:val="25"/>
        </w:numPr>
        <w:spacing w:before="0" w:after="200"/>
        <w:contextualSpacing/>
        <w:rPr>
          <w:rFonts w:asciiTheme="majorBidi" w:hAnsiTheme="majorBidi" w:cstheme="majorBidi"/>
          <w:b/>
          <w:bCs/>
          <w:sz w:val="28"/>
          <w:szCs w:val="28"/>
        </w:rPr>
      </w:pPr>
      <w:r w:rsidRPr="001D03CE">
        <w:rPr>
          <w:rFonts w:asciiTheme="majorBidi" w:hAnsiTheme="majorBidi" w:cstheme="majorBidi"/>
          <w:b/>
          <w:bCs/>
          <w:sz w:val="28"/>
          <w:szCs w:val="28"/>
        </w:rPr>
        <w:t>Sites internet :</w:t>
      </w:r>
    </w:p>
    <w:p w:rsidR="00225E5C" w:rsidRPr="00311927" w:rsidRDefault="00826CCF" w:rsidP="00D95740">
      <w:pPr>
        <w:pStyle w:val="Paragraphedeliste"/>
        <w:numPr>
          <w:ilvl w:val="0"/>
          <w:numId w:val="28"/>
        </w:numPr>
        <w:spacing w:before="0" w:after="200"/>
        <w:contextualSpacing/>
        <w:rPr>
          <w:rFonts w:asciiTheme="majorBidi" w:hAnsiTheme="majorBidi" w:cstheme="majorBidi"/>
          <w:szCs w:val="24"/>
        </w:rPr>
      </w:pPr>
      <w:hyperlink r:id="rId69" w:history="1">
        <w:r w:rsidR="00225E5C" w:rsidRPr="00311927">
          <w:rPr>
            <w:rStyle w:val="Lienhypertexte"/>
            <w:rFonts w:asciiTheme="majorBidi" w:hAnsiTheme="majorBidi" w:cstheme="majorBidi"/>
            <w:szCs w:val="24"/>
          </w:rPr>
          <w:t>http://perspective.usherbrooke.ca/bilan/tend/DZA/fr/NY.GDS.TOTL.ZS.html</w:t>
        </w:r>
      </w:hyperlink>
    </w:p>
    <w:p w:rsidR="00225E5C" w:rsidRPr="00225E5C" w:rsidRDefault="00826CCF" w:rsidP="00D95740">
      <w:pPr>
        <w:pStyle w:val="Paragraphedeliste"/>
        <w:numPr>
          <w:ilvl w:val="0"/>
          <w:numId w:val="28"/>
        </w:numPr>
        <w:spacing w:before="0" w:after="200"/>
        <w:contextualSpacing/>
        <w:rPr>
          <w:rFonts w:asciiTheme="majorBidi" w:hAnsiTheme="majorBidi" w:cstheme="majorBidi"/>
          <w:szCs w:val="24"/>
        </w:rPr>
      </w:pPr>
      <w:hyperlink r:id="rId70" w:history="1">
        <w:r w:rsidR="00225E5C" w:rsidRPr="002A3E8C">
          <w:rPr>
            <w:rStyle w:val="Lienhypertexte"/>
          </w:rPr>
          <w:t>http://www.algerie-dz.com/forums//showthread.php?t=356396</w:t>
        </w:r>
      </w:hyperlink>
    </w:p>
    <w:p w:rsidR="00225E5C" w:rsidRPr="000020F1" w:rsidRDefault="00826CCF" w:rsidP="00D95740">
      <w:pPr>
        <w:pStyle w:val="Paragraphedeliste"/>
        <w:numPr>
          <w:ilvl w:val="0"/>
          <w:numId w:val="28"/>
        </w:numPr>
        <w:spacing w:before="0" w:after="200"/>
        <w:contextualSpacing/>
        <w:rPr>
          <w:rFonts w:asciiTheme="majorBidi" w:hAnsiTheme="majorBidi" w:cstheme="majorBidi"/>
          <w:b/>
          <w:bCs/>
          <w:szCs w:val="24"/>
        </w:rPr>
      </w:pPr>
      <w:hyperlink r:id="rId71" w:history="1">
        <w:r w:rsidR="00225E5C" w:rsidRPr="000020F1">
          <w:rPr>
            <w:rFonts w:asciiTheme="majorBidi" w:hAnsiTheme="majorBidi" w:cstheme="majorBidi"/>
            <w:color w:val="0000FF"/>
            <w:szCs w:val="24"/>
            <w:u w:val="single"/>
            <w:shd w:val="clear" w:color="auto" w:fill="FFFFFF"/>
          </w:rPr>
          <w:t>http://www.bank-of-algeria.dz/html/marche3.htm</w:t>
        </w:r>
      </w:hyperlink>
    </w:p>
    <w:p w:rsidR="00225E5C" w:rsidRPr="00225E5C" w:rsidRDefault="00826CCF" w:rsidP="00D95740">
      <w:pPr>
        <w:pStyle w:val="Paragraphedeliste"/>
        <w:numPr>
          <w:ilvl w:val="0"/>
          <w:numId w:val="28"/>
        </w:numPr>
        <w:spacing w:before="0" w:after="200"/>
        <w:contextualSpacing/>
        <w:rPr>
          <w:rFonts w:asciiTheme="majorBidi" w:hAnsiTheme="majorBidi" w:cstheme="majorBidi"/>
          <w:szCs w:val="24"/>
        </w:rPr>
      </w:pPr>
      <w:hyperlink r:id="rId72" w:history="1">
        <w:r w:rsidR="00225E5C" w:rsidRPr="002A3E8C">
          <w:rPr>
            <w:rStyle w:val="Lienhypertexte"/>
          </w:rPr>
          <w:t>http://www.comptanat.fr/keynes/k4.htm</w:t>
        </w:r>
      </w:hyperlink>
    </w:p>
    <w:p w:rsidR="00225E5C" w:rsidRPr="00E14508" w:rsidRDefault="00826CCF" w:rsidP="00D95740">
      <w:pPr>
        <w:pStyle w:val="Paragraphedeliste"/>
        <w:numPr>
          <w:ilvl w:val="0"/>
          <w:numId w:val="28"/>
        </w:numPr>
        <w:spacing w:before="0" w:after="200"/>
        <w:contextualSpacing/>
        <w:rPr>
          <w:rFonts w:asciiTheme="majorBidi" w:hAnsiTheme="majorBidi" w:cstheme="majorBidi"/>
          <w:b/>
          <w:bCs/>
          <w:szCs w:val="24"/>
        </w:rPr>
      </w:pPr>
      <w:hyperlink r:id="rId73" w:history="1">
        <w:r w:rsidR="00225E5C" w:rsidRPr="00E14508">
          <w:rPr>
            <w:rStyle w:val="Lienhypertexte"/>
            <w:rFonts w:asciiTheme="majorBidi" w:hAnsiTheme="majorBidi" w:cstheme="majorBidi"/>
            <w:szCs w:val="24"/>
          </w:rPr>
          <w:t>http://www.lafinancepourtous.com/Decryptages/Mots-de-la-finance/Ratio-de-solvabilite-bancaire</w:t>
        </w:r>
      </w:hyperlink>
    </w:p>
    <w:p w:rsidR="00225E5C" w:rsidRPr="00311927" w:rsidRDefault="00826CCF" w:rsidP="00D95740">
      <w:pPr>
        <w:pStyle w:val="Paragraphedeliste"/>
        <w:numPr>
          <w:ilvl w:val="0"/>
          <w:numId w:val="28"/>
        </w:numPr>
        <w:spacing w:before="0" w:after="200"/>
        <w:contextualSpacing/>
        <w:rPr>
          <w:rFonts w:asciiTheme="majorBidi" w:hAnsiTheme="majorBidi" w:cstheme="majorBidi"/>
          <w:b/>
          <w:bCs/>
          <w:szCs w:val="24"/>
        </w:rPr>
      </w:pPr>
      <w:hyperlink r:id="rId74" w:history="1">
        <w:r w:rsidR="00225E5C" w:rsidRPr="00311927">
          <w:rPr>
            <w:rStyle w:val="Lienhypertexte"/>
            <w:rFonts w:asciiTheme="majorBidi" w:hAnsiTheme="majorBidi" w:cstheme="majorBidi"/>
            <w:szCs w:val="24"/>
          </w:rPr>
          <w:t>http://www.liberte-algerie.com/actualite/la-banque-dalgerie-poursuit-la-resorption-de-lexces-de-liquidites-225793/print/1</w:t>
        </w:r>
      </w:hyperlink>
    </w:p>
    <w:p w:rsidR="00225E5C" w:rsidRPr="00590557" w:rsidRDefault="00826CCF" w:rsidP="00D95740">
      <w:pPr>
        <w:pStyle w:val="Paragraphedeliste"/>
        <w:numPr>
          <w:ilvl w:val="0"/>
          <w:numId w:val="28"/>
        </w:numPr>
        <w:spacing w:before="0" w:after="200"/>
        <w:contextualSpacing/>
        <w:rPr>
          <w:rStyle w:val="Lienhypertexte"/>
          <w:rFonts w:asciiTheme="majorBidi" w:hAnsiTheme="majorBidi" w:cstheme="majorBidi"/>
          <w:color w:val="auto"/>
          <w:szCs w:val="24"/>
          <w:u w:val="none"/>
        </w:rPr>
      </w:pPr>
      <w:hyperlink r:id="rId75" w:history="1">
        <w:r w:rsidR="00225E5C" w:rsidRPr="00311927">
          <w:rPr>
            <w:rStyle w:val="Lienhypertexte"/>
          </w:rPr>
          <w:t>http://www.toupie.org/Dictionnaire/Pib.htm</w:t>
        </w:r>
      </w:hyperlink>
    </w:p>
    <w:p w:rsidR="00590557" w:rsidRPr="00225E5C" w:rsidRDefault="00826CCF" w:rsidP="00D95740">
      <w:pPr>
        <w:pStyle w:val="Paragraphedeliste"/>
        <w:numPr>
          <w:ilvl w:val="0"/>
          <w:numId w:val="28"/>
        </w:numPr>
        <w:spacing w:before="0" w:after="200"/>
        <w:contextualSpacing/>
        <w:rPr>
          <w:rFonts w:asciiTheme="majorBidi" w:hAnsiTheme="majorBidi" w:cstheme="majorBidi"/>
          <w:szCs w:val="24"/>
        </w:rPr>
      </w:pPr>
      <w:hyperlink r:id="rId76" w:history="1">
        <w:r w:rsidR="00590557" w:rsidRPr="00D62DDF">
          <w:rPr>
            <w:rStyle w:val="Lienhypertexte"/>
            <w:rFonts w:ascii="Segoe UI" w:eastAsiaTheme="minorHAnsi" w:hAnsi="Segoe UI" w:cs="Segoe UI"/>
            <w:lang w:eastAsia="en-US"/>
          </w:rPr>
          <w:t>http://www.lnr-dz.com/index.php?page=details&amp;id=23117</w:t>
        </w:r>
      </w:hyperlink>
    </w:p>
    <w:p w:rsidR="001D03CE" w:rsidRPr="00311927" w:rsidRDefault="001D03CE" w:rsidP="001D03CE">
      <w:pPr>
        <w:ind w:firstLine="0"/>
        <w:rPr>
          <w:rFonts w:asciiTheme="majorBidi" w:hAnsiTheme="majorBidi" w:cstheme="majorBidi"/>
          <w:b/>
          <w:bCs/>
          <w:szCs w:val="24"/>
        </w:rPr>
      </w:pPr>
    </w:p>
    <w:p w:rsidR="001D03CE" w:rsidRPr="001D03CE" w:rsidRDefault="001D03CE" w:rsidP="00D95740">
      <w:pPr>
        <w:pStyle w:val="Paragraphedeliste"/>
        <w:numPr>
          <w:ilvl w:val="0"/>
          <w:numId w:val="25"/>
        </w:numPr>
        <w:rPr>
          <w:rFonts w:asciiTheme="majorBidi" w:hAnsiTheme="majorBidi" w:cstheme="majorBidi"/>
          <w:b/>
          <w:bCs/>
          <w:sz w:val="28"/>
          <w:szCs w:val="28"/>
        </w:rPr>
      </w:pPr>
      <w:r w:rsidRPr="001D03CE">
        <w:rPr>
          <w:rFonts w:asciiTheme="majorBidi" w:hAnsiTheme="majorBidi" w:cstheme="majorBidi"/>
          <w:b/>
          <w:bCs/>
          <w:sz w:val="28"/>
          <w:szCs w:val="28"/>
        </w:rPr>
        <w:t>Rapports, articles et revues :</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sidRPr="001D03CE">
        <w:rPr>
          <w:rFonts w:asciiTheme="majorBidi" w:hAnsiTheme="majorBidi" w:cstheme="majorBidi"/>
          <w:szCs w:val="24"/>
        </w:rPr>
        <w:t>AFP, Article : « Algérie : solvabilité d</w:t>
      </w:r>
      <w:r>
        <w:rPr>
          <w:rFonts w:asciiTheme="majorBidi" w:hAnsiTheme="majorBidi" w:cstheme="majorBidi"/>
          <w:szCs w:val="24"/>
        </w:rPr>
        <w:t xml:space="preserve">es banques à 24% (2011) », </w:t>
      </w:r>
      <w:r w:rsidRPr="001D03CE">
        <w:rPr>
          <w:rFonts w:asciiTheme="majorBidi" w:hAnsiTheme="majorBidi" w:cstheme="majorBidi"/>
          <w:szCs w:val="24"/>
        </w:rPr>
        <w:t>Journal Electronique Le Figaro.Fr</w:t>
      </w:r>
      <w:r>
        <w:rPr>
          <w:rFonts w:asciiTheme="majorBidi" w:hAnsiTheme="majorBidi" w:cstheme="majorBidi"/>
          <w:szCs w:val="24"/>
        </w:rPr>
        <w:t>.</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sidRPr="001D03CE">
        <w:rPr>
          <w:rFonts w:asciiTheme="majorBidi" w:hAnsiTheme="majorBidi" w:cstheme="majorBidi"/>
          <w:szCs w:val="24"/>
        </w:rPr>
        <w:t xml:space="preserve">Banque d’Algérie, rapports sur la stabilité du système bancaire algérien, </w:t>
      </w:r>
      <w:r>
        <w:rPr>
          <w:rFonts w:asciiTheme="majorBidi" w:hAnsiTheme="majorBidi" w:cstheme="majorBidi"/>
          <w:szCs w:val="24"/>
        </w:rPr>
        <w:t>2011</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sidRPr="001D03CE">
        <w:rPr>
          <w:rFonts w:asciiTheme="majorBidi" w:hAnsiTheme="majorBidi" w:cstheme="majorBidi"/>
          <w:szCs w:val="24"/>
        </w:rPr>
        <w:t>BENREGUIA</w:t>
      </w:r>
      <w:r>
        <w:rPr>
          <w:rFonts w:asciiTheme="majorBidi" w:hAnsiTheme="majorBidi" w:cstheme="majorBidi"/>
          <w:szCs w:val="24"/>
        </w:rPr>
        <w:t>.S</w:t>
      </w:r>
      <w:r w:rsidRPr="001D03CE">
        <w:rPr>
          <w:rFonts w:asciiTheme="majorBidi" w:hAnsiTheme="majorBidi" w:cstheme="majorBidi"/>
          <w:szCs w:val="24"/>
        </w:rPr>
        <w:t xml:space="preserve">, Article : « La surliquidité bancaire s’élève à 50 milliards de dollars » selon le délégué général de l’ABEF, journal électronique </w:t>
      </w:r>
      <w:proofErr w:type="spellStart"/>
      <w:r w:rsidRPr="001D03CE">
        <w:rPr>
          <w:rFonts w:asciiTheme="majorBidi" w:hAnsiTheme="majorBidi" w:cstheme="majorBidi"/>
          <w:szCs w:val="24"/>
        </w:rPr>
        <w:t>Djazairess</w:t>
      </w:r>
      <w:proofErr w:type="spellEnd"/>
      <w:r w:rsidRPr="001D03CE">
        <w:rPr>
          <w:rFonts w:asciiTheme="majorBidi" w:hAnsiTheme="majorBidi" w:cstheme="majorBidi"/>
          <w:szCs w:val="24"/>
        </w:rPr>
        <w:t>, La Tribune, le 21-12-2009.</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proofErr w:type="spellStart"/>
      <w:r w:rsidRPr="001D03CE">
        <w:rPr>
          <w:rFonts w:asciiTheme="majorBidi" w:hAnsiTheme="majorBidi" w:cstheme="majorBidi"/>
          <w:szCs w:val="24"/>
        </w:rPr>
        <w:t>KARROUBIMokertar</w:t>
      </w:r>
      <w:proofErr w:type="spellEnd"/>
      <w:r w:rsidRPr="001D03CE">
        <w:rPr>
          <w:rFonts w:asciiTheme="majorBidi" w:hAnsiTheme="majorBidi" w:cstheme="majorBidi"/>
          <w:szCs w:val="24"/>
        </w:rPr>
        <w:t>, expert en banque, Article : « La surliquidité bancaire ne va pas à l’investissement », Journal électronique : Liberté, Alger le 18-09-2015</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sidRPr="001D03CE">
        <w:rPr>
          <w:rFonts w:asciiTheme="majorBidi" w:hAnsiTheme="majorBidi" w:cstheme="majorBidi"/>
          <w:szCs w:val="24"/>
        </w:rPr>
        <w:t>Rapport de la banque d‘Algérie</w:t>
      </w:r>
      <w:proofErr w:type="gramStart"/>
      <w:r>
        <w:rPr>
          <w:rFonts w:asciiTheme="majorBidi" w:hAnsiTheme="majorBidi" w:cstheme="majorBidi"/>
          <w:szCs w:val="24"/>
        </w:rPr>
        <w:t>,«</w:t>
      </w:r>
      <w:proofErr w:type="gramEnd"/>
      <w:r>
        <w:rPr>
          <w:rFonts w:asciiTheme="majorBidi" w:hAnsiTheme="majorBidi" w:cstheme="majorBidi"/>
          <w:szCs w:val="24"/>
        </w:rPr>
        <w:t xml:space="preserve"> politique monétaire », </w:t>
      </w:r>
      <w:r w:rsidRPr="001D03CE">
        <w:rPr>
          <w:rFonts w:asciiTheme="majorBidi" w:hAnsiTheme="majorBidi" w:cstheme="majorBidi"/>
          <w:szCs w:val="24"/>
        </w:rPr>
        <w:t>chapitre 8</w:t>
      </w:r>
      <w:r>
        <w:rPr>
          <w:rFonts w:asciiTheme="majorBidi" w:hAnsiTheme="majorBidi" w:cstheme="majorBidi"/>
          <w:szCs w:val="24"/>
        </w:rPr>
        <w:t>, 2013</w:t>
      </w:r>
      <w:r w:rsidRPr="001D03CE">
        <w:rPr>
          <w:rFonts w:asciiTheme="majorBidi" w:hAnsiTheme="majorBidi" w:cstheme="majorBidi"/>
          <w:szCs w:val="24"/>
        </w:rPr>
        <w:t> </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Pr>
          <w:rFonts w:asciiTheme="majorBidi" w:hAnsiTheme="majorBidi" w:cstheme="majorBidi"/>
          <w:szCs w:val="24"/>
        </w:rPr>
        <w:t>Rapport de la banque d’Algérie, « </w:t>
      </w:r>
      <w:r w:rsidRPr="001D03CE">
        <w:rPr>
          <w:rFonts w:asciiTheme="majorBidi" w:hAnsiTheme="majorBidi" w:cstheme="majorBidi"/>
          <w:szCs w:val="24"/>
        </w:rPr>
        <w:t>politique monétaire</w:t>
      </w:r>
      <w:r>
        <w:rPr>
          <w:rFonts w:asciiTheme="majorBidi" w:hAnsiTheme="majorBidi" w:cstheme="majorBidi"/>
          <w:szCs w:val="24"/>
        </w:rPr>
        <w:t> »</w:t>
      </w:r>
      <w:r w:rsidRPr="001D03CE">
        <w:rPr>
          <w:rFonts w:asciiTheme="majorBidi" w:hAnsiTheme="majorBidi" w:cstheme="majorBidi"/>
          <w:szCs w:val="24"/>
        </w:rPr>
        <w:t>, chapitre 3</w:t>
      </w:r>
      <w:r>
        <w:rPr>
          <w:rFonts w:asciiTheme="majorBidi" w:hAnsiTheme="majorBidi" w:cstheme="majorBidi"/>
          <w:szCs w:val="24"/>
        </w:rPr>
        <w:t>.</w:t>
      </w:r>
      <w:r w:rsidRPr="001D03CE">
        <w:rPr>
          <w:rFonts w:asciiTheme="majorBidi" w:hAnsiTheme="majorBidi" w:cstheme="majorBidi"/>
          <w:szCs w:val="24"/>
        </w:rPr>
        <w:t>2014</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sidRPr="001D03CE">
        <w:rPr>
          <w:rFonts w:asciiTheme="majorBidi" w:hAnsiTheme="majorBidi" w:cstheme="majorBidi"/>
          <w:szCs w:val="24"/>
        </w:rPr>
        <w:lastRenderedPageBreak/>
        <w:t xml:space="preserve">Rapport de la banque d’Algérie : </w:t>
      </w:r>
      <w:r>
        <w:rPr>
          <w:rFonts w:asciiTheme="majorBidi" w:hAnsiTheme="majorBidi" w:cstheme="majorBidi"/>
          <w:szCs w:val="24"/>
        </w:rPr>
        <w:t>L</w:t>
      </w:r>
      <w:r w:rsidRPr="001D03CE">
        <w:rPr>
          <w:rFonts w:asciiTheme="majorBidi" w:hAnsiTheme="majorBidi" w:cstheme="majorBidi"/>
          <w:szCs w:val="24"/>
        </w:rPr>
        <w:t>a stabilité du système bancaire Algérien 2009-2011</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sidRPr="001D03CE">
        <w:rPr>
          <w:rFonts w:asciiTheme="majorBidi" w:hAnsiTheme="majorBidi" w:cstheme="majorBidi"/>
          <w:szCs w:val="24"/>
        </w:rPr>
        <w:t>Ra</w:t>
      </w:r>
      <w:r>
        <w:rPr>
          <w:rFonts w:asciiTheme="majorBidi" w:hAnsiTheme="majorBidi" w:cstheme="majorBidi"/>
          <w:szCs w:val="24"/>
        </w:rPr>
        <w:t>pport de la banque d’Algérie : S</w:t>
      </w:r>
      <w:r w:rsidRPr="001D03CE">
        <w:rPr>
          <w:rFonts w:asciiTheme="majorBidi" w:hAnsiTheme="majorBidi" w:cstheme="majorBidi"/>
          <w:szCs w:val="24"/>
        </w:rPr>
        <w:t>ituatio</w:t>
      </w:r>
      <w:r>
        <w:rPr>
          <w:rFonts w:asciiTheme="majorBidi" w:hAnsiTheme="majorBidi" w:cstheme="majorBidi"/>
          <w:szCs w:val="24"/>
        </w:rPr>
        <w:t>n mensuelle du marché monétaire</w:t>
      </w:r>
      <w:r w:rsidR="00126CB3">
        <w:rPr>
          <w:rFonts w:asciiTheme="majorBidi" w:hAnsiTheme="majorBidi" w:cstheme="majorBidi"/>
          <w:szCs w:val="24"/>
        </w:rPr>
        <w:t>,</w:t>
      </w:r>
      <w:r w:rsidR="00126CB3" w:rsidRPr="001D03CE">
        <w:rPr>
          <w:rFonts w:asciiTheme="majorBidi" w:hAnsiTheme="majorBidi" w:cstheme="majorBidi"/>
          <w:szCs w:val="24"/>
        </w:rPr>
        <w:t xml:space="preserve"> 2014</w:t>
      </w:r>
      <w:r>
        <w:rPr>
          <w:rFonts w:asciiTheme="majorBidi" w:hAnsiTheme="majorBidi" w:cstheme="majorBidi"/>
          <w:szCs w:val="24"/>
        </w:rPr>
        <w:t>.</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sidRPr="001D03CE">
        <w:rPr>
          <w:rFonts w:asciiTheme="majorBidi" w:hAnsiTheme="majorBidi" w:cstheme="majorBidi"/>
          <w:szCs w:val="24"/>
        </w:rPr>
        <w:t>Ra</w:t>
      </w:r>
      <w:r>
        <w:rPr>
          <w:rFonts w:asciiTheme="majorBidi" w:hAnsiTheme="majorBidi" w:cstheme="majorBidi"/>
          <w:szCs w:val="24"/>
        </w:rPr>
        <w:t>pport de la banque d’Algérie : T</w:t>
      </w:r>
      <w:r w:rsidRPr="001D03CE">
        <w:rPr>
          <w:rFonts w:asciiTheme="majorBidi" w:hAnsiTheme="majorBidi" w:cstheme="majorBidi"/>
          <w:szCs w:val="24"/>
        </w:rPr>
        <w:t>endances monétaires et financières au cours des neufs pre</w:t>
      </w:r>
      <w:r>
        <w:rPr>
          <w:rFonts w:asciiTheme="majorBidi" w:hAnsiTheme="majorBidi" w:cstheme="majorBidi"/>
          <w:szCs w:val="24"/>
        </w:rPr>
        <w:t>miers mois,</w:t>
      </w:r>
      <w:r w:rsidRPr="001D03CE">
        <w:rPr>
          <w:rFonts w:asciiTheme="majorBidi" w:hAnsiTheme="majorBidi" w:cstheme="majorBidi"/>
          <w:szCs w:val="24"/>
        </w:rPr>
        <w:t xml:space="preserve"> 2013.</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sidRPr="001D03CE">
        <w:rPr>
          <w:rFonts w:asciiTheme="majorBidi" w:hAnsiTheme="majorBidi" w:cstheme="majorBidi"/>
          <w:szCs w:val="24"/>
        </w:rPr>
        <w:t>R</w:t>
      </w:r>
      <w:r>
        <w:rPr>
          <w:rFonts w:asciiTheme="majorBidi" w:hAnsiTheme="majorBidi" w:cstheme="majorBidi"/>
          <w:szCs w:val="24"/>
        </w:rPr>
        <w:t>apport de la Banque d’Algérie : T</w:t>
      </w:r>
      <w:r w:rsidRPr="001D03CE">
        <w:rPr>
          <w:rFonts w:asciiTheme="majorBidi" w:hAnsiTheme="majorBidi" w:cstheme="majorBidi"/>
          <w:szCs w:val="24"/>
        </w:rPr>
        <w:t>endances monétaires et financières au</w:t>
      </w:r>
      <w:r>
        <w:rPr>
          <w:rFonts w:asciiTheme="majorBidi" w:hAnsiTheme="majorBidi" w:cstheme="majorBidi"/>
          <w:szCs w:val="24"/>
        </w:rPr>
        <w:t xml:space="preserve"> cours de neufs premiers mois,</w:t>
      </w:r>
      <w:r w:rsidRPr="001D03CE">
        <w:rPr>
          <w:rFonts w:asciiTheme="majorBidi" w:hAnsiTheme="majorBidi" w:cstheme="majorBidi"/>
          <w:szCs w:val="24"/>
        </w:rPr>
        <w:t xml:space="preserve"> 2014</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sidRPr="001D03CE">
        <w:rPr>
          <w:rFonts w:asciiTheme="majorBidi" w:hAnsiTheme="majorBidi" w:cstheme="majorBidi"/>
          <w:szCs w:val="24"/>
        </w:rPr>
        <w:t>R</w:t>
      </w:r>
      <w:r>
        <w:rPr>
          <w:rFonts w:asciiTheme="majorBidi" w:hAnsiTheme="majorBidi" w:cstheme="majorBidi"/>
          <w:szCs w:val="24"/>
        </w:rPr>
        <w:t>apport de la banque d’Algérie: S</w:t>
      </w:r>
      <w:r w:rsidRPr="001D03CE">
        <w:rPr>
          <w:rFonts w:asciiTheme="majorBidi" w:hAnsiTheme="majorBidi" w:cstheme="majorBidi"/>
          <w:szCs w:val="24"/>
        </w:rPr>
        <w:t>ituation</w:t>
      </w:r>
      <w:r>
        <w:rPr>
          <w:rFonts w:asciiTheme="majorBidi" w:hAnsiTheme="majorBidi" w:cstheme="majorBidi"/>
          <w:szCs w:val="24"/>
        </w:rPr>
        <w:t xml:space="preserve"> mensuelle du marché monétaire,</w:t>
      </w:r>
      <w:r w:rsidR="00590557">
        <w:rPr>
          <w:rFonts w:asciiTheme="majorBidi" w:hAnsiTheme="majorBidi" w:cstheme="majorBidi"/>
          <w:szCs w:val="24"/>
        </w:rPr>
        <w:t xml:space="preserve"> </w:t>
      </w:r>
      <w:r w:rsidRPr="001D03CE">
        <w:rPr>
          <w:rFonts w:asciiTheme="majorBidi" w:hAnsiTheme="majorBidi" w:cstheme="majorBidi"/>
          <w:szCs w:val="24"/>
        </w:rPr>
        <w:t>2015.</w:t>
      </w:r>
    </w:p>
    <w:p w:rsidR="00B05883" w:rsidRDefault="00B05883" w:rsidP="00D95740">
      <w:pPr>
        <w:pStyle w:val="Paragraphedeliste"/>
        <w:numPr>
          <w:ilvl w:val="0"/>
          <w:numId w:val="29"/>
        </w:numPr>
        <w:spacing w:before="0" w:after="200"/>
        <w:contextualSpacing/>
        <w:rPr>
          <w:rFonts w:asciiTheme="majorBidi" w:hAnsiTheme="majorBidi" w:cstheme="majorBidi"/>
          <w:szCs w:val="24"/>
        </w:rPr>
      </w:pPr>
      <w:r w:rsidRPr="00B05883">
        <w:rPr>
          <w:rFonts w:asciiTheme="majorBidi" w:hAnsiTheme="majorBidi" w:cstheme="majorBidi"/>
          <w:szCs w:val="24"/>
        </w:rPr>
        <w:t>Rapport de la Banque d’Algérie : Bulletin statistique trimestriel, 2015</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sidRPr="001D03CE">
        <w:rPr>
          <w:rFonts w:asciiTheme="majorBidi" w:hAnsiTheme="majorBidi" w:cstheme="majorBidi"/>
          <w:szCs w:val="24"/>
        </w:rPr>
        <w:t xml:space="preserve">Article 15 de la loi 86-12 du 19/08/1986, relative au régime des banques et du crédit. </w:t>
      </w:r>
    </w:p>
    <w:p w:rsidR="00B05883" w:rsidRPr="001D03CE" w:rsidRDefault="00B05883" w:rsidP="00590557">
      <w:pPr>
        <w:pStyle w:val="Paragraphedeliste"/>
        <w:numPr>
          <w:ilvl w:val="0"/>
          <w:numId w:val="29"/>
        </w:numPr>
        <w:spacing w:before="0" w:after="200"/>
        <w:contextualSpacing/>
        <w:rPr>
          <w:rFonts w:asciiTheme="majorBidi" w:hAnsiTheme="majorBidi" w:cstheme="majorBidi"/>
          <w:b/>
          <w:bCs/>
          <w:szCs w:val="24"/>
        </w:rPr>
      </w:pPr>
      <w:r>
        <w:rPr>
          <w:rFonts w:asciiTheme="majorBidi" w:hAnsiTheme="majorBidi" w:cstheme="majorBidi"/>
          <w:szCs w:val="24"/>
        </w:rPr>
        <w:t>A</w:t>
      </w:r>
      <w:r w:rsidRPr="001D03CE">
        <w:rPr>
          <w:rFonts w:asciiTheme="majorBidi" w:hAnsiTheme="majorBidi" w:cstheme="majorBidi"/>
          <w:szCs w:val="24"/>
        </w:rPr>
        <w:t xml:space="preserve">rticle </w:t>
      </w:r>
      <w:r w:rsidR="00590557">
        <w:rPr>
          <w:rFonts w:asciiTheme="majorBidi" w:hAnsiTheme="majorBidi" w:cstheme="majorBidi"/>
          <w:szCs w:val="24"/>
        </w:rPr>
        <w:t>66</w:t>
      </w:r>
      <w:r w:rsidRPr="001D03CE">
        <w:rPr>
          <w:rFonts w:asciiTheme="majorBidi" w:hAnsiTheme="majorBidi" w:cstheme="majorBidi"/>
          <w:szCs w:val="24"/>
        </w:rPr>
        <w:t xml:space="preserve"> de la loi 90-10 du 14 Avril 1990 relative à la monnaie et le crédit. </w:t>
      </w:r>
    </w:p>
    <w:p w:rsidR="00B05883" w:rsidRPr="001D03CE" w:rsidRDefault="00B05883" w:rsidP="00D95740">
      <w:pPr>
        <w:pStyle w:val="Paragraphedeliste"/>
        <w:numPr>
          <w:ilvl w:val="0"/>
          <w:numId w:val="29"/>
        </w:numPr>
        <w:spacing w:before="0" w:after="200"/>
        <w:contextualSpacing/>
        <w:rPr>
          <w:rFonts w:asciiTheme="majorBidi" w:hAnsiTheme="majorBidi" w:cstheme="majorBidi"/>
          <w:b/>
          <w:bCs/>
          <w:szCs w:val="24"/>
        </w:rPr>
      </w:pPr>
      <w:r w:rsidRPr="001D03CE">
        <w:rPr>
          <w:rFonts w:asciiTheme="majorBidi" w:hAnsiTheme="majorBidi" w:cstheme="majorBidi"/>
          <w:szCs w:val="24"/>
        </w:rPr>
        <w:t xml:space="preserve">Article 62 de l’ordonnance n°03-11 du 26 Août 2003. </w:t>
      </w:r>
    </w:p>
    <w:p w:rsidR="00B05883" w:rsidRDefault="00B05883" w:rsidP="00D95740">
      <w:pPr>
        <w:pStyle w:val="Paragraphedeliste"/>
        <w:numPr>
          <w:ilvl w:val="0"/>
          <w:numId w:val="29"/>
        </w:numPr>
        <w:spacing w:before="0" w:after="200"/>
        <w:contextualSpacing/>
        <w:rPr>
          <w:rFonts w:asciiTheme="majorBidi" w:hAnsiTheme="majorBidi" w:cstheme="majorBidi"/>
          <w:szCs w:val="24"/>
        </w:rPr>
      </w:pPr>
      <w:r w:rsidRPr="001D03CE">
        <w:rPr>
          <w:rFonts w:asciiTheme="majorBidi" w:hAnsiTheme="majorBidi" w:cstheme="majorBidi"/>
          <w:szCs w:val="24"/>
        </w:rPr>
        <w:t>Revue Africaine de l’intégration, Vol 3, No.2, Octobre 2009</w:t>
      </w:r>
      <w:r>
        <w:rPr>
          <w:rFonts w:asciiTheme="majorBidi" w:hAnsiTheme="majorBidi" w:cstheme="majorBidi"/>
          <w:szCs w:val="24"/>
        </w:rPr>
        <w:t>.</w:t>
      </w:r>
    </w:p>
    <w:p w:rsidR="00B05883" w:rsidRPr="00B05883" w:rsidRDefault="00B05883" w:rsidP="00D95740">
      <w:pPr>
        <w:pStyle w:val="Paragraphedeliste"/>
        <w:numPr>
          <w:ilvl w:val="0"/>
          <w:numId w:val="29"/>
        </w:numPr>
        <w:spacing w:before="0" w:after="200"/>
        <w:contextualSpacing/>
        <w:rPr>
          <w:rFonts w:asciiTheme="majorBidi" w:hAnsiTheme="majorBidi" w:cstheme="majorBidi"/>
          <w:szCs w:val="24"/>
        </w:rPr>
        <w:sectPr w:rsidR="00B05883" w:rsidRPr="00B05883" w:rsidSect="00A03CE9">
          <w:headerReference w:type="default" r:id="rId77"/>
          <w:footerReference w:type="default" r:id="rId78"/>
          <w:pgSz w:w="11906" w:h="16838"/>
          <w:pgMar w:top="1417" w:right="1417" w:bottom="1417" w:left="1417" w:header="708" w:footer="708" w:gutter="0"/>
          <w:pgNumType w:start="86"/>
          <w:cols w:space="708"/>
          <w:docGrid w:linePitch="360"/>
        </w:sectPr>
      </w:pPr>
    </w:p>
    <w:p w:rsidR="00A26AC9" w:rsidRPr="007F0DAB" w:rsidRDefault="00A26AC9" w:rsidP="00A26AC9">
      <w:pPr>
        <w:pStyle w:val="TM1"/>
        <w:rPr>
          <w:b/>
          <w:i/>
          <w:sz w:val="44"/>
          <w:szCs w:val="44"/>
        </w:rPr>
      </w:pPr>
      <w:r w:rsidRPr="007F0DAB">
        <w:rPr>
          <w:b/>
          <w:i/>
          <w:sz w:val="44"/>
          <w:szCs w:val="44"/>
        </w:rPr>
        <w:lastRenderedPageBreak/>
        <w:t>Table des matières</w:t>
      </w:r>
    </w:p>
    <w:p w:rsidR="00DB48B2" w:rsidRDefault="00375DC2" w:rsidP="00AE20B4">
      <w:pPr>
        <w:pStyle w:val="TM1"/>
        <w:rPr>
          <w:rFonts w:asciiTheme="minorHAnsi" w:eastAsiaTheme="minorEastAsia" w:hAnsiTheme="minorHAnsi" w:cstheme="minorBidi"/>
          <w:noProof/>
          <w:sz w:val="22"/>
        </w:rPr>
      </w:pPr>
      <w:r w:rsidRPr="00C161AE">
        <w:rPr>
          <w:b/>
        </w:rPr>
        <w:fldChar w:fldCharType="begin"/>
      </w:r>
      <w:r w:rsidR="00A26AC9" w:rsidRPr="00C161AE">
        <w:rPr>
          <w:b/>
        </w:rPr>
        <w:instrText xml:space="preserve"> TOC \o "1-3" \h \z \u </w:instrText>
      </w:r>
      <w:r w:rsidRPr="00C161AE">
        <w:rPr>
          <w:b/>
        </w:rPr>
        <w:fldChar w:fldCharType="separate"/>
      </w:r>
      <w:hyperlink w:anchor="_Toc431979959" w:history="1">
        <w:r w:rsidR="00DB48B2" w:rsidRPr="00E71823">
          <w:rPr>
            <w:rStyle w:val="Lienhypertexte"/>
            <w:noProof/>
          </w:rPr>
          <w:t>Introduction générale</w:t>
        </w:r>
        <w:r w:rsidR="00DB48B2">
          <w:rPr>
            <w:noProof/>
            <w:webHidden/>
          </w:rPr>
          <w:tab/>
        </w:r>
        <w:r w:rsidR="00AE20B4">
          <w:rPr>
            <w:noProof/>
            <w:webHidden/>
          </w:rPr>
          <w:t>7</w:t>
        </w:r>
      </w:hyperlink>
    </w:p>
    <w:p w:rsidR="00DB48B2" w:rsidRDefault="00826CCF" w:rsidP="00AE20B4">
      <w:pPr>
        <w:pStyle w:val="TM1"/>
        <w:rPr>
          <w:rFonts w:asciiTheme="minorHAnsi" w:eastAsiaTheme="minorEastAsia" w:hAnsiTheme="minorHAnsi" w:cstheme="minorBidi"/>
          <w:noProof/>
          <w:sz w:val="22"/>
        </w:rPr>
      </w:pPr>
      <w:hyperlink w:anchor="_Toc431979960" w:history="1">
        <w:r w:rsidR="00DB48B2" w:rsidRPr="00E71823">
          <w:rPr>
            <w:rStyle w:val="Lienhypertexte"/>
            <w:noProof/>
          </w:rPr>
          <w:t>CHAPITRE I : Le système bancaire algérien et la notion de la liquidité.</w:t>
        </w:r>
        <w:r w:rsidR="00DB48B2">
          <w:rPr>
            <w:noProof/>
            <w:webHidden/>
          </w:rPr>
          <w:tab/>
        </w:r>
        <w:r w:rsidR="00AE20B4">
          <w:rPr>
            <w:noProof/>
            <w:webHidden/>
          </w:rPr>
          <w:t>11</w:t>
        </w:r>
      </w:hyperlink>
    </w:p>
    <w:p w:rsidR="00DB48B2" w:rsidRDefault="00826CCF" w:rsidP="00AE20B4">
      <w:pPr>
        <w:pStyle w:val="TM1"/>
        <w:rPr>
          <w:rFonts w:asciiTheme="minorHAnsi" w:eastAsiaTheme="minorEastAsia" w:hAnsiTheme="minorHAnsi" w:cstheme="minorBidi"/>
          <w:noProof/>
          <w:sz w:val="22"/>
        </w:rPr>
      </w:pPr>
      <w:hyperlink w:anchor="_Toc431979961" w:history="1">
        <w:r w:rsidR="00DB48B2" w:rsidRPr="00E71823">
          <w:rPr>
            <w:rStyle w:val="Lienhypertexte"/>
            <w:noProof/>
          </w:rPr>
          <w:t>Introduction</w:t>
        </w:r>
        <w:r w:rsidR="00DB48B2">
          <w:rPr>
            <w:noProof/>
            <w:webHidden/>
          </w:rPr>
          <w:tab/>
        </w:r>
        <w:r w:rsidR="00AE20B4">
          <w:rPr>
            <w:noProof/>
            <w:webHidden/>
          </w:rPr>
          <w:t>11</w:t>
        </w:r>
      </w:hyperlink>
    </w:p>
    <w:p w:rsidR="00DB48B2" w:rsidRDefault="00826CCF" w:rsidP="00AE20B4">
      <w:pPr>
        <w:pStyle w:val="TM1"/>
        <w:rPr>
          <w:rFonts w:asciiTheme="minorHAnsi" w:eastAsiaTheme="minorEastAsia" w:hAnsiTheme="minorHAnsi" w:cstheme="minorBidi"/>
          <w:noProof/>
          <w:sz w:val="22"/>
        </w:rPr>
      </w:pPr>
      <w:hyperlink w:anchor="_Toc431979962" w:history="1">
        <w:r w:rsidR="00DB48B2" w:rsidRPr="00E71823">
          <w:rPr>
            <w:rStyle w:val="Lienhypertexte"/>
            <w:noProof/>
          </w:rPr>
          <w:t>Section 01 : Le système bancaire algérien</w:t>
        </w:r>
        <w:r w:rsidR="00DB48B2">
          <w:rPr>
            <w:noProof/>
            <w:webHidden/>
          </w:rPr>
          <w:tab/>
        </w:r>
        <w:r w:rsidR="00AE20B4">
          <w:rPr>
            <w:noProof/>
            <w:webHidden/>
          </w:rPr>
          <w:t>12</w:t>
        </w:r>
      </w:hyperlink>
    </w:p>
    <w:p w:rsidR="00DB48B2" w:rsidRDefault="00826CCF" w:rsidP="00AE20B4">
      <w:pPr>
        <w:pStyle w:val="TM1"/>
        <w:rPr>
          <w:rFonts w:asciiTheme="minorHAnsi" w:eastAsiaTheme="minorEastAsia" w:hAnsiTheme="minorHAnsi" w:cstheme="minorBidi"/>
          <w:noProof/>
          <w:sz w:val="22"/>
        </w:rPr>
      </w:pPr>
      <w:hyperlink w:anchor="_Toc431979963" w:history="1">
        <w:r w:rsidR="000C2DA3">
          <w:t>1.</w:t>
        </w:r>
        <w:r w:rsidR="00DB48B2">
          <w:rPr>
            <w:rFonts w:asciiTheme="minorHAnsi" w:eastAsiaTheme="minorEastAsia" w:hAnsiTheme="minorHAnsi" w:cstheme="minorBidi"/>
            <w:noProof/>
            <w:sz w:val="22"/>
          </w:rPr>
          <w:tab/>
        </w:r>
        <w:r w:rsidR="00DB48B2" w:rsidRPr="00E71823">
          <w:rPr>
            <w:rStyle w:val="Lienhypertexte"/>
            <w:noProof/>
          </w:rPr>
          <w:t>Evolution historique du système bancaire algérien</w:t>
        </w:r>
        <w:r w:rsidR="00DB48B2">
          <w:rPr>
            <w:noProof/>
            <w:webHidden/>
          </w:rPr>
          <w:tab/>
        </w:r>
        <w:r w:rsidR="00AE20B4">
          <w:rPr>
            <w:noProof/>
            <w:webHidden/>
          </w:rPr>
          <w:t>12</w:t>
        </w:r>
      </w:hyperlink>
    </w:p>
    <w:p w:rsidR="00DB48B2" w:rsidRDefault="00826CCF" w:rsidP="00AE20B4">
      <w:pPr>
        <w:pStyle w:val="TM2"/>
        <w:rPr>
          <w:rFonts w:asciiTheme="minorHAnsi" w:eastAsiaTheme="minorEastAsia" w:hAnsiTheme="minorHAnsi" w:cstheme="minorBidi"/>
          <w:noProof/>
          <w:sz w:val="22"/>
        </w:rPr>
      </w:pPr>
      <w:hyperlink w:anchor="_Toc431979964" w:history="1">
        <w:r w:rsidR="000C2DA3">
          <w:rPr>
            <w:rStyle w:val="Lienhypertexte"/>
            <w:noProof/>
          </w:rPr>
          <w:t>1.1</w:t>
        </w:r>
        <w:r w:rsidR="00DB48B2" w:rsidRPr="00E71823">
          <w:rPr>
            <w:rStyle w:val="Lienhypertexte"/>
            <w:noProof/>
          </w:rPr>
          <w:t xml:space="preserve">  De l'indépendance à 1966</w:t>
        </w:r>
        <w:r w:rsidR="00DB48B2">
          <w:rPr>
            <w:noProof/>
            <w:webHidden/>
          </w:rPr>
          <w:tab/>
        </w:r>
        <w:r w:rsidR="00AE20B4">
          <w:rPr>
            <w:noProof/>
            <w:webHidden/>
          </w:rPr>
          <w:t>12</w:t>
        </w:r>
      </w:hyperlink>
    </w:p>
    <w:p w:rsidR="00DB48B2" w:rsidRDefault="00826CCF" w:rsidP="00AE20B4">
      <w:pPr>
        <w:pStyle w:val="TM3"/>
        <w:rPr>
          <w:rFonts w:asciiTheme="minorHAnsi" w:eastAsiaTheme="minorEastAsia" w:hAnsiTheme="minorHAnsi" w:cstheme="minorBidi"/>
          <w:noProof/>
          <w:sz w:val="22"/>
        </w:rPr>
      </w:pPr>
      <w:hyperlink w:anchor="_Toc431979965" w:history="1">
        <w:r w:rsidR="00DB48B2">
          <w:rPr>
            <w:rFonts w:asciiTheme="minorHAnsi" w:eastAsiaTheme="minorEastAsia" w:hAnsiTheme="minorHAnsi" w:cstheme="minorBidi"/>
            <w:noProof/>
            <w:sz w:val="22"/>
          </w:rPr>
          <w:tab/>
        </w:r>
        <w:r w:rsidR="000C2DA3">
          <w:rPr>
            <w:rStyle w:val="Lienhypertexte"/>
            <w:noProof/>
          </w:rPr>
          <w:t>1.1.1</w:t>
        </w:r>
        <w:r w:rsidR="00DB48B2" w:rsidRPr="00E71823">
          <w:rPr>
            <w:rStyle w:val="Lienhypertexte"/>
            <w:noProof/>
          </w:rPr>
          <w:t xml:space="preserve"> La création de la Banque Centrale d’Algérie « BCA » :</w:t>
        </w:r>
        <w:r w:rsidR="00DB48B2">
          <w:rPr>
            <w:noProof/>
            <w:webHidden/>
          </w:rPr>
          <w:tab/>
        </w:r>
        <w:r w:rsidR="00AE20B4">
          <w:rPr>
            <w:noProof/>
            <w:webHidden/>
          </w:rPr>
          <w:t>12</w:t>
        </w:r>
      </w:hyperlink>
    </w:p>
    <w:p w:rsidR="00DB48B2" w:rsidRDefault="000C2DA3" w:rsidP="00AE20B4">
      <w:pPr>
        <w:pStyle w:val="TM3"/>
        <w:rPr>
          <w:rFonts w:asciiTheme="minorHAnsi" w:eastAsiaTheme="minorEastAsia" w:hAnsiTheme="minorHAnsi" w:cstheme="minorBidi"/>
          <w:noProof/>
          <w:sz w:val="22"/>
        </w:rPr>
      </w:pPr>
      <w:r>
        <w:t xml:space="preserve">         </w:t>
      </w:r>
      <w:hyperlink w:anchor="_Toc431979966" w:history="1">
        <w:r>
          <w:t xml:space="preserve">1.1.2 </w:t>
        </w:r>
        <w:r w:rsidR="00DB48B2" w:rsidRPr="00E71823">
          <w:rPr>
            <w:rStyle w:val="Lienhypertexte"/>
            <w:noProof/>
          </w:rPr>
          <w:t>La Caisse Algérienne de Développement « CAD » :</w:t>
        </w:r>
        <w:r w:rsidR="00DB48B2">
          <w:rPr>
            <w:noProof/>
            <w:webHidden/>
          </w:rPr>
          <w:tab/>
        </w:r>
        <w:r w:rsidR="00AE20B4">
          <w:rPr>
            <w:noProof/>
            <w:webHidden/>
          </w:rPr>
          <w:t>13</w:t>
        </w:r>
      </w:hyperlink>
    </w:p>
    <w:p w:rsidR="00DB48B2" w:rsidRDefault="00826CCF" w:rsidP="00AE20B4">
      <w:pPr>
        <w:pStyle w:val="TM3"/>
        <w:rPr>
          <w:rFonts w:asciiTheme="minorHAnsi" w:eastAsiaTheme="minorEastAsia" w:hAnsiTheme="minorHAnsi" w:cstheme="minorBidi"/>
          <w:noProof/>
          <w:sz w:val="22"/>
        </w:rPr>
      </w:pPr>
      <w:hyperlink w:anchor="_Toc431979967" w:history="1">
        <w:r w:rsidR="00DB48B2">
          <w:rPr>
            <w:rFonts w:asciiTheme="minorHAnsi" w:eastAsiaTheme="minorEastAsia" w:hAnsiTheme="minorHAnsi" w:cstheme="minorBidi"/>
            <w:noProof/>
            <w:sz w:val="22"/>
          </w:rPr>
          <w:tab/>
        </w:r>
        <w:r w:rsidR="000C2DA3">
          <w:rPr>
            <w:rStyle w:val="Lienhypertexte"/>
            <w:noProof/>
          </w:rPr>
          <w:t>1.1.3</w:t>
        </w:r>
        <w:r w:rsidR="00DB48B2" w:rsidRPr="00E71823">
          <w:rPr>
            <w:rStyle w:val="Lienhypertexte"/>
            <w:noProof/>
          </w:rPr>
          <w:t xml:space="preserve"> La Caisse Nationale d'Epargne et de Prévoyance « CNEP » :</w:t>
        </w:r>
        <w:r w:rsidR="00DB48B2">
          <w:rPr>
            <w:noProof/>
            <w:webHidden/>
          </w:rPr>
          <w:tab/>
        </w:r>
        <w:r w:rsidR="00AE20B4">
          <w:rPr>
            <w:noProof/>
            <w:webHidden/>
          </w:rPr>
          <w:t>13</w:t>
        </w:r>
      </w:hyperlink>
    </w:p>
    <w:p w:rsidR="00DB48B2" w:rsidRDefault="00826CCF" w:rsidP="00AE20B4">
      <w:pPr>
        <w:pStyle w:val="TM2"/>
        <w:rPr>
          <w:rFonts w:asciiTheme="minorHAnsi" w:eastAsiaTheme="minorEastAsia" w:hAnsiTheme="minorHAnsi" w:cstheme="minorBidi"/>
          <w:noProof/>
          <w:sz w:val="22"/>
        </w:rPr>
      </w:pPr>
      <w:hyperlink w:anchor="_Toc431979968" w:history="1">
        <w:r w:rsidR="000C2DA3">
          <w:rPr>
            <w:rStyle w:val="Lienhypertexte"/>
            <w:noProof/>
          </w:rPr>
          <w:t>1.2</w:t>
        </w:r>
        <w:r w:rsidR="00DB48B2" w:rsidRPr="00E71823">
          <w:rPr>
            <w:rStyle w:val="Lienhypertexte"/>
            <w:noProof/>
          </w:rPr>
          <w:t xml:space="preserve">  La période 1966-1970 :</w:t>
        </w:r>
        <w:r w:rsidR="00DB48B2">
          <w:rPr>
            <w:noProof/>
            <w:webHidden/>
          </w:rPr>
          <w:tab/>
        </w:r>
        <w:r w:rsidR="00AE20B4">
          <w:rPr>
            <w:noProof/>
            <w:webHidden/>
          </w:rPr>
          <w:t>14</w:t>
        </w:r>
      </w:hyperlink>
    </w:p>
    <w:p w:rsidR="00DB48B2" w:rsidRDefault="00826CCF" w:rsidP="00AE20B4">
      <w:pPr>
        <w:pStyle w:val="TM3"/>
        <w:rPr>
          <w:rFonts w:asciiTheme="minorHAnsi" w:eastAsiaTheme="minorEastAsia" w:hAnsiTheme="minorHAnsi" w:cstheme="minorBidi"/>
          <w:noProof/>
          <w:sz w:val="22"/>
        </w:rPr>
      </w:pPr>
      <w:hyperlink w:anchor="_Toc431979969" w:history="1">
        <w:r w:rsidR="00DB48B2">
          <w:rPr>
            <w:rFonts w:asciiTheme="minorHAnsi" w:eastAsiaTheme="minorEastAsia" w:hAnsiTheme="minorHAnsi" w:cstheme="minorBidi"/>
            <w:noProof/>
            <w:sz w:val="22"/>
          </w:rPr>
          <w:tab/>
        </w:r>
        <w:r w:rsidR="000C2DA3">
          <w:rPr>
            <w:rStyle w:val="Lienhypertexte"/>
            <w:noProof/>
          </w:rPr>
          <w:t>1.2.1</w:t>
        </w:r>
        <w:r w:rsidR="00DB48B2" w:rsidRPr="00E71823">
          <w:rPr>
            <w:rStyle w:val="Lienhypertexte"/>
            <w:noProof/>
          </w:rPr>
          <w:t xml:space="preserve"> La Banque Nationale d'Algérie « BNA »:</w:t>
        </w:r>
        <w:r w:rsidR="00DB48B2">
          <w:rPr>
            <w:noProof/>
            <w:webHidden/>
          </w:rPr>
          <w:tab/>
        </w:r>
        <w:r w:rsidR="00AE20B4">
          <w:rPr>
            <w:noProof/>
            <w:webHidden/>
          </w:rPr>
          <w:t>14</w:t>
        </w:r>
      </w:hyperlink>
    </w:p>
    <w:p w:rsidR="00DB48B2" w:rsidRDefault="00826CCF" w:rsidP="00AE20B4">
      <w:pPr>
        <w:pStyle w:val="TM3"/>
        <w:rPr>
          <w:rFonts w:asciiTheme="minorHAnsi" w:eastAsiaTheme="minorEastAsia" w:hAnsiTheme="minorHAnsi" w:cstheme="minorBidi"/>
          <w:noProof/>
          <w:sz w:val="22"/>
        </w:rPr>
      </w:pPr>
      <w:hyperlink w:anchor="_Toc431979970" w:history="1">
        <w:r w:rsidR="00DB48B2">
          <w:rPr>
            <w:rFonts w:asciiTheme="minorHAnsi" w:eastAsiaTheme="minorEastAsia" w:hAnsiTheme="minorHAnsi" w:cstheme="minorBidi"/>
            <w:noProof/>
            <w:sz w:val="22"/>
          </w:rPr>
          <w:tab/>
        </w:r>
        <w:r w:rsidR="000C2DA3">
          <w:rPr>
            <w:rStyle w:val="Lienhypertexte"/>
            <w:noProof/>
          </w:rPr>
          <w:t>1.2.2</w:t>
        </w:r>
        <w:r w:rsidR="00DB48B2" w:rsidRPr="00E71823">
          <w:rPr>
            <w:rStyle w:val="Lienhypertexte"/>
            <w:noProof/>
          </w:rPr>
          <w:t xml:space="preserve">  Le Crédit Populaire d'Algérie « CPA » :</w:t>
        </w:r>
        <w:r w:rsidR="00DB48B2">
          <w:rPr>
            <w:noProof/>
            <w:webHidden/>
          </w:rPr>
          <w:tab/>
        </w:r>
        <w:r w:rsidR="00AE20B4">
          <w:rPr>
            <w:noProof/>
            <w:webHidden/>
          </w:rPr>
          <w:t>14</w:t>
        </w:r>
      </w:hyperlink>
    </w:p>
    <w:p w:rsidR="00DB48B2" w:rsidRDefault="00826CCF" w:rsidP="00AE20B4">
      <w:pPr>
        <w:pStyle w:val="TM3"/>
        <w:rPr>
          <w:rFonts w:asciiTheme="minorHAnsi" w:eastAsiaTheme="minorEastAsia" w:hAnsiTheme="minorHAnsi" w:cstheme="minorBidi"/>
          <w:noProof/>
          <w:sz w:val="22"/>
        </w:rPr>
      </w:pPr>
      <w:hyperlink w:anchor="_Toc431979971" w:history="1">
        <w:r w:rsidR="00DB48B2">
          <w:rPr>
            <w:rFonts w:asciiTheme="minorHAnsi" w:eastAsiaTheme="minorEastAsia" w:hAnsiTheme="minorHAnsi" w:cstheme="minorBidi"/>
            <w:noProof/>
            <w:sz w:val="22"/>
          </w:rPr>
          <w:tab/>
        </w:r>
        <w:r w:rsidR="000C2DA3">
          <w:rPr>
            <w:rStyle w:val="Lienhypertexte"/>
            <w:noProof/>
          </w:rPr>
          <w:t>1.2.3</w:t>
        </w:r>
        <w:r w:rsidR="00DB48B2" w:rsidRPr="00E71823">
          <w:rPr>
            <w:rStyle w:val="Lienhypertexte"/>
            <w:noProof/>
          </w:rPr>
          <w:t xml:space="preserve">  La Banque Extérieure d'Algérie « BEA » :</w:t>
        </w:r>
        <w:r w:rsidR="00DB48B2">
          <w:rPr>
            <w:noProof/>
            <w:webHidden/>
          </w:rPr>
          <w:tab/>
        </w:r>
        <w:r w:rsidR="00AE20B4">
          <w:rPr>
            <w:noProof/>
            <w:webHidden/>
          </w:rPr>
          <w:t>15</w:t>
        </w:r>
      </w:hyperlink>
    </w:p>
    <w:p w:rsidR="00DB48B2" w:rsidRDefault="00826CCF" w:rsidP="00AE20B4">
      <w:pPr>
        <w:pStyle w:val="TM2"/>
        <w:rPr>
          <w:rFonts w:asciiTheme="minorHAnsi" w:eastAsiaTheme="minorEastAsia" w:hAnsiTheme="minorHAnsi" w:cstheme="minorBidi"/>
          <w:noProof/>
          <w:sz w:val="22"/>
        </w:rPr>
      </w:pPr>
      <w:hyperlink w:anchor="_Toc431979972" w:history="1">
        <w:r w:rsidR="000C2DA3">
          <w:rPr>
            <w:rStyle w:val="Lienhypertexte"/>
            <w:noProof/>
          </w:rPr>
          <w:t>1.3</w:t>
        </w:r>
        <w:r w:rsidR="00DB48B2" w:rsidRPr="00E71823">
          <w:rPr>
            <w:rStyle w:val="Lienhypertexte"/>
            <w:noProof/>
          </w:rPr>
          <w:t xml:space="preserve"> La période 1970-1978 :</w:t>
        </w:r>
        <w:r w:rsidR="00DB48B2">
          <w:rPr>
            <w:noProof/>
            <w:webHidden/>
          </w:rPr>
          <w:tab/>
        </w:r>
        <w:r w:rsidR="00375DC2">
          <w:rPr>
            <w:noProof/>
            <w:webHidden/>
          </w:rPr>
          <w:fldChar w:fldCharType="begin"/>
        </w:r>
        <w:r w:rsidR="00DB48B2">
          <w:rPr>
            <w:noProof/>
            <w:webHidden/>
          </w:rPr>
          <w:instrText xml:space="preserve"> PAGEREF _Toc431979972 \h </w:instrText>
        </w:r>
        <w:r w:rsidR="00375DC2">
          <w:rPr>
            <w:noProof/>
            <w:webHidden/>
          </w:rPr>
        </w:r>
        <w:r w:rsidR="00375DC2">
          <w:rPr>
            <w:noProof/>
            <w:webHidden/>
          </w:rPr>
          <w:fldChar w:fldCharType="separate"/>
        </w:r>
        <w:r w:rsidR="00593D6A">
          <w:rPr>
            <w:noProof/>
            <w:webHidden/>
          </w:rPr>
          <w:t>1</w:t>
        </w:r>
        <w:r w:rsidR="00AE20B4">
          <w:rPr>
            <w:noProof/>
            <w:webHidden/>
          </w:rPr>
          <w:t>6</w:t>
        </w:r>
        <w:r w:rsidR="00375DC2">
          <w:rPr>
            <w:noProof/>
            <w:webHidden/>
          </w:rPr>
          <w:fldChar w:fldCharType="end"/>
        </w:r>
      </w:hyperlink>
    </w:p>
    <w:p w:rsidR="00DB48B2" w:rsidRDefault="00826CCF" w:rsidP="00AE20B4">
      <w:pPr>
        <w:pStyle w:val="TM2"/>
        <w:rPr>
          <w:rFonts w:asciiTheme="minorHAnsi" w:eastAsiaTheme="minorEastAsia" w:hAnsiTheme="minorHAnsi" w:cstheme="minorBidi"/>
          <w:noProof/>
          <w:sz w:val="22"/>
        </w:rPr>
      </w:pPr>
      <w:hyperlink w:anchor="_Toc431979973" w:history="1">
        <w:r w:rsidR="000C2DA3">
          <w:rPr>
            <w:rStyle w:val="Lienhypertexte"/>
            <w:noProof/>
          </w:rPr>
          <w:t>1.4</w:t>
        </w:r>
        <w:r w:rsidR="00DB48B2" w:rsidRPr="00E71823">
          <w:rPr>
            <w:rStyle w:val="Lienhypertexte"/>
            <w:noProof/>
          </w:rPr>
          <w:t xml:space="preserve"> La période 1978-1986 :</w:t>
        </w:r>
        <w:r w:rsidR="00DB48B2">
          <w:rPr>
            <w:noProof/>
            <w:webHidden/>
          </w:rPr>
          <w:tab/>
        </w:r>
        <w:r w:rsidR="00375DC2">
          <w:rPr>
            <w:noProof/>
            <w:webHidden/>
          </w:rPr>
          <w:fldChar w:fldCharType="begin"/>
        </w:r>
        <w:r w:rsidR="00DB48B2">
          <w:rPr>
            <w:noProof/>
            <w:webHidden/>
          </w:rPr>
          <w:instrText xml:space="preserve"> PAGEREF _Toc431979973 \h </w:instrText>
        </w:r>
        <w:r w:rsidR="00375DC2">
          <w:rPr>
            <w:noProof/>
            <w:webHidden/>
          </w:rPr>
        </w:r>
        <w:r w:rsidR="00375DC2">
          <w:rPr>
            <w:noProof/>
            <w:webHidden/>
          </w:rPr>
          <w:fldChar w:fldCharType="separate"/>
        </w:r>
        <w:r w:rsidR="00593D6A">
          <w:rPr>
            <w:noProof/>
            <w:webHidden/>
          </w:rPr>
          <w:t>1</w:t>
        </w:r>
        <w:r w:rsidR="00AE20B4">
          <w:rPr>
            <w:noProof/>
            <w:webHidden/>
          </w:rPr>
          <w:t>6</w:t>
        </w:r>
        <w:r w:rsidR="00375DC2">
          <w:rPr>
            <w:noProof/>
            <w:webHidden/>
          </w:rPr>
          <w:fldChar w:fldCharType="end"/>
        </w:r>
      </w:hyperlink>
    </w:p>
    <w:p w:rsidR="00DB48B2" w:rsidRDefault="00826CCF" w:rsidP="00AE20B4">
      <w:pPr>
        <w:pStyle w:val="TM3"/>
        <w:rPr>
          <w:rFonts w:asciiTheme="minorHAnsi" w:eastAsiaTheme="minorEastAsia" w:hAnsiTheme="minorHAnsi" w:cstheme="minorBidi"/>
          <w:noProof/>
          <w:sz w:val="22"/>
        </w:rPr>
      </w:pPr>
      <w:hyperlink w:anchor="_Toc431979974" w:history="1">
        <w:r w:rsidR="00DB48B2">
          <w:rPr>
            <w:rFonts w:asciiTheme="minorHAnsi" w:eastAsiaTheme="minorEastAsia" w:hAnsiTheme="minorHAnsi" w:cstheme="minorBidi"/>
            <w:noProof/>
            <w:sz w:val="22"/>
          </w:rPr>
          <w:tab/>
        </w:r>
        <w:r w:rsidR="000C2DA3">
          <w:rPr>
            <w:rStyle w:val="Lienhypertexte"/>
            <w:noProof/>
          </w:rPr>
          <w:t>1.4.1</w:t>
        </w:r>
        <w:r w:rsidR="00DB48B2" w:rsidRPr="00E71823">
          <w:rPr>
            <w:rStyle w:val="Lienhypertexte"/>
            <w:noProof/>
          </w:rPr>
          <w:t xml:space="preserve">  Banque Agricole et du développement rural « BADR » :</w:t>
        </w:r>
        <w:r w:rsidR="00DB48B2">
          <w:rPr>
            <w:noProof/>
            <w:webHidden/>
          </w:rPr>
          <w:tab/>
        </w:r>
        <w:r w:rsidR="00375DC2">
          <w:rPr>
            <w:noProof/>
            <w:webHidden/>
          </w:rPr>
          <w:fldChar w:fldCharType="begin"/>
        </w:r>
        <w:r w:rsidR="00DB48B2">
          <w:rPr>
            <w:noProof/>
            <w:webHidden/>
          </w:rPr>
          <w:instrText xml:space="preserve"> PAGEREF _Toc431979974 \h </w:instrText>
        </w:r>
        <w:r w:rsidR="00375DC2">
          <w:rPr>
            <w:noProof/>
            <w:webHidden/>
          </w:rPr>
        </w:r>
        <w:r w:rsidR="00375DC2">
          <w:rPr>
            <w:noProof/>
            <w:webHidden/>
          </w:rPr>
          <w:fldChar w:fldCharType="separate"/>
        </w:r>
        <w:r w:rsidR="00593D6A">
          <w:rPr>
            <w:noProof/>
            <w:webHidden/>
          </w:rPr>
          <w:t>1</w:t>
        </w:r>
        <w:r w:rsidR="00AE20B4">
          <w:rPr>
            <w:noProof/>
            <w:webHidden/>
          </w:rPr>
          <w:t>6</w:t>
        </w:r>
        <w:r w:rsidR="00375DC2">
          <w:rPr>
            <w:noProof/>
            <w:webHidden/>
          </w:rPr>
          <w:fldChar w:fldCharType="end"/>
        </w:r>
      </w:hyperlink>
    </w:p>
    <w:p w:rsidR="00DB48B2" w:rsidRDefault="00826CCF" w:rsidP="00AE20B4">
      <w:pPr>
        <w:pStyle w:val="TM3"/>
        <w:rPr>
          <w:rFonts w:asciiTheme="minorHAnsi" w:eastAsiaTheme="minorEastAsia" w:hAnsiTheme="minorHAnsi" w:cstheme="minorBidi"/>
          <w:noProof/>
          <w:sz w:val="22"/>
        </w:rPr>
      </w:pPr>
      <w:hyperlink w:anchor="_Toc431979975" w:history="1">
        <w:r w:rsidR="00DB48B2">
          <w:rPr>
            <w:rFonts w:asciiTheme="minorHAnsi" w:eastAsiaTheme="minorEastAsia" w:hAnsiTheme="minorHAnsi" w:cstheme="minorBidi"/>
            <w:noProof/>
            <w:sz w:val="22"/>
          </w:rPr>
          <w:tab/>
        </w:r>
        <w:r w:rsidR="000C2DA3">
          <w:rPr>
            <w:rStyle w:val="Lienhypertexte"/>
            <w:noProof/>
          </w:rPr>
          <w:t>1.4.2</w:t>
        </w:r>
        <w:r w:rsidR="00DB48B2" w:rsidRPr="00E71823">
          <w:rPr>
            <w:rStyle w:val="Lienhypertexte"/>
            <w:noProof/>
          </w:rPr>
          <w:t xml:space="preserve">  La création de la Banque de développement local « BDL » :</w:t>
        </w:r>
        <w:r w:rsidR="00DB48B2">
          <w:rPr>
            <w:noProof/>
            <w:webHidden/>
          </w:rPr>
          <w:tab/>
        </w:r>
        <w:r w:rsidR="00375DC2">
          <w:rPr>
            <w:noProof/>
            <w:webHidden/>
          </w:rPr>
          <w:fldChar w:fldCharType="begin"/>
        </w:r>
        <w:r w:rsidR="00DB48B2">
          <w:rPr>
            <w:noProof/>
            <w:webHidden/>
          </w:rPr>
          <w:instrText xml:space="preserve"> PAGEREF _Toc431979975 \h </w:instrText>
        </w:r>
        <w:r w:rsidR="00375DC2">
          <w:rPr>
            <w:noProof/>
            <w:webHidden/>
          </w:rPr>
        </w:r>
        <w:r w:rsidR="00375DC2">
          <w:rPr>
            <w:noProof/>
            <w:webHidden/>
          </w:rPr>
          <w:fldChar w:fldCharType="separate"/>
        </w:r>
        <w:r w:rsidR="00593D6A">
          <w:rPr>
            <w:noProof/>
            <w:webHidden/>
          </w:rPr>
          <w:t>1</w:t>
        </w:r>
        <w:r w:rsidR="00AE20B4">
          <w:rPr>
            <w:noProof/>
            <w:webHidden/>
          </w:rPr>
          <w:t>7</w:t>
        </w:r>
        <w:r w:rsidR="00375DC2">
          <w:rPr>
            <w:noProof/>
            <w:webHidden/>
          </w:rPr>
          <w:fldChar w:fldCharType="end"/>
        </w:r>
      </w:hyperlink>
    </w:p>
    <w:p w:rsidR="00DB48B2" w:rsidRDefault="00826CCF" w:rsidP="00AE20B4">
      <w:pPr>
        <w:pStyle w:val="TM2"/>
        <w:rPr>
          <w:rFonts w:asciiTheme="minorHAnsi" w:eastAsiaTheme="minorEastAsia" w:hAnsiTheme="minorHAnsi" w:cstheme="minorBidi"/>
          <w:noProof/>
          <w:sz w:val="22"/>
        </w:rPr>
      </w:pPr>
      <w:hyperlink w:anchor="_Toc431979976" w:history="1">
        <w:r w:rsidR="000C2DA3">
          <w:rPr>
            <w:rStyle w:val="Lienhypertexte"/>
            <w:noProof/>
          </w:rPr>
          <w:t>1.5</w:t>
        </w:r>
        <w:r w:rsidR="00DB48B2" w:rsidRPr="00E71823">
          <w:rPr>
            <w:rStyle w:val="Lienhypertexte"/>
            <w:noProof/>
          </w:rPr>
          <w:t xml:space="preserve"> La période de 1988 à nos jours :</w:t>
        </w:r>
        <w:r w:rsidR="00DB48B2">
          <w:rPr>
            <w:noProof/>
            <w:webHidden/>
          </w:rPr>
          <w:tab/>
        </w:r>
        <w:r w:rsidR="00375DC2">
          <w:rPr>
            <w:noProof/>
            <w:webHidden/>
          </w:rPr>
          <w:fldChar w:fldCharType="begin"/>
        </w:r>
        <w:r w:rsidR="00DB48B2">
          <w:rPr>
            <w:noProof/>
            <w:webHidden/>
          </w:rPr>
          <w:instrText xml:space="preserve"> PAGEREF _Toc431979976 \h </w:instrText>
        </w:r>
        <w:r w:rsidR="00375DC2">
          <w:rPr>
            <w:noProof/>
            <w:webHidden/>
          </w:rPr>
        </w:r>
        <w:r w:rsidR="00375DC2">
          <w:rPr>
            <w:noProof/>
            <w:webHidden/>
          </w:rPr>
          <w:fldChar w:fldCharType="separate"/>
        </w:r>
        <w:r w:rsidR="00593D6A">
          <w:rPr>
            <w:noProof/>
            <w:webHidden/>
          </w:rPr>
          <w:t>1</w:t>
        </w:r>
        <w:r w:rsidR="00AE20B4">
          <w:rPr>
            <w:noProof/>
            <w:webHidden/>
          </w:rPr>
          <w:t>7</w:t>
        </w:r>
        <w:r w:rsidR="00375DC2">
          <w:rPr>
            <w:noProof/>
            <w:webHidden/>
          </w:rPr>
          <w:fldChar w:fldCharType="end"/>
        </w:r>
      </w:hyperlink>
    </w:p>
    <w:p w:rsidR="00DB48B2" w:rsidRDefault="00826CCF" w:rsidP="00AE20B4">
      <w:pPr>
        <w:pStyle w:val="TM1"/>
        <w:rPr>
          <w:rFonts w:asciiTheme="minorHAnsi" w:eastAsiaTheme="minorEastAsia" w:hAnsiTheme="minorHAnsi" w:cstheme="minorBidi"/>
          <w:noProof/>
          <w:sz w:val="22"/>
        </w:rPr>
      </w:pPr>
      <w:hyperlink w:anchor="_Toc431979977" w:history="1">
        <w:r w:rsidR="000C2DA3">
          <w:t>2.</w:t>
        </w:r>
        <w:r w:rsidR="00DB48B2">
          <w:rPr>
            <w:rFonts w:asciiTheme="minorHAnsi" w:eastAsiaTheme="minorEastAsia" w:hAnsiTheme="minorHAnsi" w:cstheme="minorBidi"/>
            <w:noProof/>
            <w:sz w:val="22"/>
          </w:rPr>
          <w:tab/>
        </w:r>
        <w:r w:rsidR="00DB48B2" w:rsidRPr="00E71823">
          <w:rPr>
            <w:rStyle w:val="Lienhypertexte"/>
            <w:noProof/>
          </w:rPr>
          <w:t>Organisation du système bancaire Algérien dans le cadre des lois bancaires</w:t>
        </w:r>
        <w:r w:rsidR="00DB48B2">
          <w:rPr>
            <w:noProof/>
            <w:webHidden/>
          </w:rPr>
          <w:tab/>
        </w:r>
        <w:r w:rsidR="00375DC2">
          <w:rPr>
            <w:noProof/>
            <w:webHidden/>
          </w:rPr>
          <w:fldChar w:fldCharType="begin"/>
        </w:r>
        <w:r w:rsidR="00DB48B2">
          <w:rPr>
            <w:noProof/>
            <w:webHidden/>
          </w:rPr>
          <w:instrText xml:space="preserve"> PAGEREF _Toc431979977 \h </w:instrText>
        </w:r>
        <w:r w:rsidR="00375DC2">
          <w:rPr>
            <w:noProof/>
            <w:webHidden/>
          </w:rPr>
        </w:r>
        <w:r w:rsidR="00375DC2">
          <w:rPr>
            <w:noProof/>
            <w:webHidden/>
          </w:rPr>
          <w:fldChar w:fldCharType="separate"/>
        </w:r>
        <w:r w:rsidR="00593D6A">
          <w:rPr>
            <w:noProof/>
            <w:webHidden/>
          </w:rPr>
          <w:t>1</w:t>
        </w:r>
        <w:r w:rsidR="00AE20B4">
          <w:rPr>
            <w:noProof/>
            <w:webHidden/>
          </w:rPr>
          <w:t>7</w:t>
        </w:r>
        <w:r w:rsidR="00375DC2">
          <w:rPr>
            <w:noProof/>
            <w:webHidden/>
          </w:rPr>
          <w:fldChar w:fldCharType="end"/>
        </w:r>
      </w:hyperlink>
    </w:p>
    <w:p w:rsidR="00DB48B2" w:rsidRDefault="00826CCF" w:rsidP="00AE20B4">
      <w:pPr>
        <w:pStyle w:val="TM2"/>
        <w:rPr>
          <w:rFonts w:asciiTheme="minorHAnsi" w:eastAsiaTheme="minorEastAsia" w:hAnsiTheme="minorHAnsi" w:cstheme="minorBidi"/>
          <w:noProof/>
          <w:sz w:val="22"/>
        </w:rPr>
      </w:pPr>
      <w:hyperlink w:anchor="_Toc431979978" w:history="1">
        <w:r w:rsidR="000C2DA3">
          <w:rPr>
            <w:rStyle w:val="Lienhypertexte"/>
            <w:noProof/>
          </w:rPr>
          <w:t>2.1</w:t>
        </w:r>
        <w:r w:rsidR="00DB48B2" w:rsidRPr="00E71823">
          <w:rPr>
            <w:rStyle w:val="Lienhypertexte"/>
            <w:noProof/>
          </w:rPr>
          <w:t xml:space="preserve"> La réforme bancaire de 1986</w:t>
        </w:r>
        <w:r w:rsidR="00DB48B2">
          <w:rPr>
            <w:noProof/>
            <w:webHidden/>
          </w:rPr>
          <w:tab/>
        </w:r>
        <w:r w:rsidR="00375DC2">
          <w:rPr>
            <w:noProof/>
            <w:webHidden/>
          </w:rPr>
          <w:fldChar w:fldCharType="begin"/>
        </w:r>
        <w:r w:rsidR="00DB48B2">
          <w:rPr>
            <w:noProof/>
            <w:webHidden/>
          </w:rPr>
          <w:instrText xml:space="preserve"> PAGEREF _Toc431979978 \h </w:instrText>
        </w:r>
        <w:r w:rsidR="00375DC2">
          <w:rPr>
            <w:noProof/>
            <w:webHidden/>
          </w:rPr>
        </w:r>
        <w:r w:rsidR="00375DC2">
          <w:rPr>
            <w:noProof/>
            <w:webHidden/>
          </w:rPr>
          <w:fldChar w:fldCharType="separate"/>
        </w:r>
        <w:r w:rsidR="00593D6A">
          <w:rPr>
            <w:noProof/>
            <w:webHidden/>
          </w:rPr>
          <w:t>1</w:t>
        </w:r>
        <w:r w:rsidR="00AE20B4">
          <w:rPr>
            <w:noProof/>
            <w:webHidden/>
          </w:rPr>
          <w:t>8</w:t>
        </w:r>
        <w:r w:rsidR="00375DC2">
          <w:rPr>
            <w:noProof/>
            <w:webHidden/>
          </w:rPr>
          <w:fldChar w:fldCharType="end"/>
        </w:r>
      </w:hyperlink>
    </w:p>
    <w:p w:rsidR="00DB48B2" w:rsidRDefault="00826CCF" w:rsidP="00AE20B4">
      <w:pPr>
        <w:pStyle w:val="TM3"/>
        <w:rPr>
          <w:rFonts w:asciiTheme="minorHAnsi" w:eastAsiaTheme="minorEastAsia" w:hAnsiTheme="minorHAnsi" w:cstheme="minorBidi"/>
          <w:noProof/>
          <w:sz w:val="22"/>
        </w:rPr>
      </w:pPr>
      <w:hyperlink w:anchor="_Toc431979979" w:history="1">
        <w:r w:rsidR="00DB48B2">
          <w:rPr>
            <w:rFonts w:asciiTheme="minorHAnsi" w:eastAsiaTheme="minorEastAsia" w:hAnsiTheme="minorHAnsi" w:cstheme="minorBidi"/>
            <w:noProof/>
            <w:sz w:val="22"/>
          </w:rPr>
          <w:tab/>
        </w:r>
        <w:r w:rsidR="000C2DA3">
          <w:rPr>
            <w:rStyle w:val="Lienhypertexte"/>
            <w:noProof/>
          </w:rPr>
          <w:t>2.1.1</w:t>
        </w:r>
        <w:r w:rsidR="00DB48B2" w:rsidRPr="00E71823">
          <w:rPr>
            <w:rStyle w:val="Lienhypertexte"/>
            <w:noProof/>
          </w:rPr>
          <w:t xml:space="preserve"> L’autonomie du système bancaire</w:t>
        </w:r>
        <w:r w:rsidR="00DB48B2">
          <w:rPr>
            <w:noProof/>
            <w:webHidden/>
          </w:rPr>
          <w:tab/>
        </w:r>
        <w:r w:rsidR="00375DC2">
          <w:rPr>
            <w:noProof/>
            <w:webHidden/>
          </w:rPr>
          <w:fldChar w:fldCharType="begin"/>
        </w:r>
        <w:r w:rsidR="00DB48B2">
          <w:rPr>
            <w:noProof/>
            <w:webHidden/>
          </w:rPr>
          <w:instrText xml:space="preserve"> PAGEREF _Toc431979979 \h </w:instrText>
        </w:r>
        <w:r w:rsidR="00375DC2">
          <w:rPr>
            <w:noProof/>
            <w:webHidden/>
          </w:rPr>
        </w:r>
        <w:r w:rsidR="00375DC2">
          <w:rPr>
            <w:noProof/>
            <w:webHidden/>
          </w:rPr>
          <w:fldChar w:fldCharType="separate"/>
        </w:r>
        <w:r w:rsidR="00593D6A">
          <w:rPr>
            <w:noProof/>
            <w:webHidden/>
          </w:rPr>
          <w:t>1</w:t>
        </w:r>
        <w:r w:rsidR="00AE20B4">
          <w:rPr>
            <w:noProof/>
            <w:webHidden/>
          </w:rPr>
          <w:t>8</w:t>
        </w:r>
        <w:r w:rsidR="00375DC2">
          <w:rPr>
            <w:noProof/>
            <w:webHidden/>
          </w:rPr>
          <w:fldChar w:fldCharType="end"/>
        </w:r>
      </w:hyperlink>
    </w:p>
    <w:p w:rsidR="00DB48B2" w:rsidRDefault="00826CCF" w:rsidP="00AE20B4">
      <w:pPr>
        <w:pStyle w:val="TM3"/>
        <w:rPr>
          <w:rFonts w:asciiTheme="minorHAnsi" w:eastAsiaTheme="minorEastAsia" w:hAnsiTheme="minorHAnsi" w:cstheme="minorBidi"/>
          <w:noProof/>
          <w:sz w:val="22"/>
        </w:rPr>
      </w:pPr>
      <w:hyperlink w:anchor="_Toc431979980" w:history="1">
        <w:r w:rsidR="00DB48B2">
          <w:rPr>
            <w:rFonts w:asciiTheme="minorHAnsi" w:eastAsiaTheme="minorEastAsia" w:hAnsiTheme="minorHAnsi" w:cstheme="minorBidi"/>
            <w:noProof/>
            <w:sz w:val="22"/>
          </w:rPr>
          <w:tab/>
        </w:r>
        <w:r w:rsidR="000C2DA3">
          <w:rPr>
            <w:rStyle w:val="Lienhypertexte"/>
            <w:noProof/>
          </w:rPr>
          <w:t>2.1.2</w:t>
        </w:r>
        <w:r w:rsidR="00DB48B2" w:rsidRPr="00E71823">
          <w:rPr>
            <w:rStyle w:val="Lienhypertexte"/>
            <w:noProof/>
          </w:rPr>
          <w:t xml:space="preserve"> Les insuffisances de la loi bancaire 86.</w:t>
        </w:r>
        <w:r w:rsidR="00DB48B2">
          <w:rPr>
            <w:noProof/>
            <w:webHidden/>
          </w:rPr>
          <w:tab/>
        </w:r>
        <w:r w:rsidR="00375DC2">
          <w:rPr>
            <w:noProof/>
            <w:webHidden/>
          </w:rPr>
          <w:fldChar w:fldCharType="begin"/>
        </w:r>
        <w:r w:rsidR="00DB48B2">
          <w:rPr>
            <w:noProof/>
            <w:webHidden/>
          </w:rPr>
          <w:instrText xml:space="preserve"> PAGEREF _Toc431979980 \h </w:instrText>
        </w:r>
        <w:r w:rsidR="00375DC2">
          <w:rPr>
            <w:noProof/>
            <w:webHidden/>
          </w:rPr>
        </w:r>
        <w:r w:rsidR="00375DC2">
          <w:rPr>
            <w:noProof/>
            <w:webHidden/>
          </w:rPr>
          <w:fldChar w:fldCharType="separate"/>
        </w:r>
        <w:r w:rsidR="00593D6A">
          <w:rPr>
            <w:noProof/>
            <w:webHidden/>
          </w:rPr>
          <w:t>1</w:t>
        </w:r>
        <w:r w:rsidR="00AE20B4">
          <w:rPr>
            <w:noProof/>
            <w:webHidden/>
          </w:rPr>
          <w:t>9</w:t>
        </w:r>
        <w:r w:rsidR="00375DC2">
          <w:rPr>
            <w:noProof/>
            <w:webHidden/>
          </w:rPr>
          <w:fldChar w:fldCharType="end"/>
        </w:r>
      </w:hyperlink>
    </w:p>
    <w:p w:rsidR="00DB48B2" w:rsidRDefault="00826CCF" w:rsidP="00AE20B4">
      <w:pPr>
        <w:pStyle w:val="TM2"/>
        <w:rPr>
          <w:rFonts w:asciiTheme="minorHAnsi" w:eastAsiaTheme="minorEastAsia" w:hAnsiTheme="minorHAnsi" w:cstheme="minorBidi"/>
          <w:noProof/>
          <w:sz w:val="22"/>
        </w:rPr>
      </w:pPr>
      <w:hyperlink w:anchor="_Toc431979981" w:history="1">
        <w:r w:rsidR="000C2DA3">
          <w:rPr>
            <w:rStyle w:val="Lienhypertexte"/>
            <w:noProof/>
          </w:rPr>
          <w:t>2.2</w:t>
        </w:r>
        <w:r w:rsidR="00DB48B2" w:rsidRPr="00E71823">
          <w:rPr>
            <w:rStyle w:val="Lienhypertexte"/>
            <w:noProof/>
          </w:rPr>
          <w:t xml:space="preserve"> La réforme de 1988 « loi n° 88- 06 du 12 janvier 1988</w:t>
        </w:r>
        <w:r w:rsidR="00DB48B2">
          <w:rPr>
            <w:noProof/>
            <w:webHidden/>
          </w:rPr>
          <w:tab/>
        </w:r>
        <w:r w:rsidR="00375DC2">
          <w:rPr>
            <w:noProof/>
            <w:webHidden/>
          </w:rPr>
          <w:fldChar w:fldCharType="begin"/>
        </w:r>
        <w:r w:rsidR="00DB48B2">
          <w:rPr>
            <w:noProof/>
            <w:webHidden/>
          </w:rPr>
          <w:instrText xml:space="preserve"> PAGEREF _Toc431979981 \h </w:instrText>
        </w:r>
        <w:r w:rsidR="00375DC2">
          <w:rPr>
            <w:noProof/>
            <w:webHidden/>
          </w:rPr>
        </w:r>
        <w:r w:rsidR="00375DC2">
          <w:rPr>
            <w:noProof/>
            <w:webHidden/>
          </w:rPr>
          <w:fldChar w:fldCharType="separate"/>
        </w:r>
        <w:r w:rsidR="00593D6A">
          <w:rPr>
            <w:noProof/>
            <w:webHidden/>
          </w:rPr>
          <w:t>1</w:t>
        </w:r>
        <w:r w:rsidR="00AE20B4">
          <w:rPr>
            <w:noProof/>
            <w:webHidden/>
          </w:rPr>
          <w:t>9</w:t>
        </w:r>
        <w:r w:rsidR="00375DC2">
          <w:rPr>
            <w:noProof/>
            <w:webHidden/>
          </w:rPr>
          <w:fldChar w:fldCharType="end"/>
        </w:r>
      </w:hyperlink>
    </w:p>
    <w:p w:rsidR="00DB48B2" w:rsidRDefault="00826CCF" w:rsidP="00AE20B4">
      <w:pPr>
        <w:pStyle w:val="TM3"/>
        <w:rPr>
          <w:rFonts w:asciiTheme="minorHAnsi" w:eastAsiaTheme="minorEastAsia" w:hAnsiTheme="minorHAnsi" w:cstheme="minorBidi"/>
          <w:noProof/>
          <w:sz w:val="22"/>
        </w:rPr>
      </w:pPr>
      <w:hyperlink w:anchor="_Toc431979982" w:history="1">
        <w:r w:rsidR="00DB48B2">
          <w:rPr>
            <w:rFonts w:asciiTheme="minorHAnsi" w:eastAsiaTheme="minorEastAsia" w:hAnsiTheme="minorHAnsi" w:cstheme="minorBidi"/>
            <w:noProof/>
            <w:sz w:val="22"/>
          </w:rPr>
          <w:tab/>
        </w:r>
        <w:r w:rsidR="000C2DA3">
          <w:rPr>
            <w:rStyle w:val="Lienhypertexte"/>
            <w:noProof/>
          </w:rPr>
          <w:t>2.2.1</w:t>
        </w:r>
        <w:r w:rsidR="00DB48B2" w:rsidRPr="00E71823">
          <w:rPr>
            <w:rStyle w:val="Lienhypertexte"/>
            <w:noProof/>
          </w:rPr>
          <w:t xml:space="preserve"> Le désengagement de l’Etat Algérien et l’avènement de l’économie de marché</w:t>
        </w:r>
        <w:r w:rsidR="000C2DA3">
          <w:rPr>
            <w:rStyle w:val="Lienhypertexte"/>
            <w:noProof/>
          </w:rPr>
          <w:t>……………….</w:t>
        </w:r>
        <w:r w:rsidR="00DB48B2">
          <w:rPr>
            <w:noProof/>
            <w:webHidden/>
          </w:rPr>
          <w:tab/>
        </w:r>
        <w:r w:rsidR="00AE20B4">
          <w:rPr>
            <w:noProof/>
            <w:webHidden/>
          </w:rPr>
          <w:t>20</w:t>
        </w:r>
      </w:hyperlink>
    </w:p>
    <w:p w:rsidR="00DB48B2" w:rsidRDefault="00826CCF" w:rsidP="00AE20B4">
      <w:pPr>
        <w:pStyle w:val="TM3"/>
        <w:rPr>
          <w:rFonts w:asciiTheme="minorHAnsi" w:eastAsiaTheme="minorEastAsia" w:hAnsiTheme="minorHAnsi" w:cstheme="minorBidi"/>
          <w:noProof/>
          <w:sz w:val="22"/>
        </w:rPr>
      </w:pPr>
      <w:hyperlink w:anchor="_Toc431979983" w:history="1">
        <w:r w:rsidR="00DB48B2">
          <w:rPr>
            <w:rFonts w:asciiTheme="minorHAnsi" w:eastAsiaTheme="minorEastAsia" w:hAnsiTheme="minorHAnsi" w:cstheme="minorBidi"/>
            <w:noProof/>
            <w:sz w:val="22"/>
          </w:rPr>
          <w:tab/>
        </w:r>
        <w:r w:rsidR="000C2DA3">
          <w:rPr>
            <w:rStyle w:val="Lienhypertexte"/>
            <w:noProof/>
          </w:rPr>
          <w:t>2.2.2</w:t>
        </w:r>
        <w:r w:rsidR="00DB48B2" w:rsidRPr="00E71823">
          <w:rPr>
            <w:rStyle w:val="Lienhypertexte"/>
            <w:noProof/>
          </w:rPr>
          <w:t xml:space="preserve"> Textes relatifs à la loi N° 88/06 du 12/01/1988</w:t>
        </w:r>
        <w:r w:rsidR="00DB48B2">
          <w:rPr>
            <w:noProof/>
            <w:webHidden/>
          </w:rPr>
          <w:tab/>
        </w:r>
        <w:r w:rsidR="00AE20B4">
          <w:rPr>
            <w:noProof/>
            <w:webHidden/>
          </w:rPr>
          <w:t>20</w:t>
        </w:r>
      </w:hyperlink>
    </w:p>
    <w:p w:rsidR="00DB48B2" w:rsidRDefault="00826CCF" w:rsidP="00AE20B4">
      <w:pPr>
        <w:pStyle w:val="TM2"/>
        <w:rPr>
          <w:rFonts w:asciiTheme="minorHAnsi" w:eastAsiaTheme="minorEastAsia" w:hAnsiTheme="minorHAnsi" w:cstheme="minorBidi"/>
          <w:noProof/>
          <w:sz w:val="22"/>
        </w:rPr>
      </w:pPr>
      <w:hyperlink w:anchor="_Toc431979984" w:history="1">
        <w:r w:rsidR="000C2DA3">
          <w:rPr>
            <w:rStyle w:val="Lienhypertexte"/>
            <w:noProof/>
          </w:rPr>
          <w:t>2.3</w:t>
        </w:r>
        <w:r w:rsidR="00DB48B2" w:rsidRPr="00E71823">
          <w:rPr>
            <w:rStyle w:val="Lienhypertexte"/>
            <w:noProof/>
          </w:rPr>
          <w:t xml:space="preserve">  La loi 90/10 relative à la monnaie et au crédit.</w:t>
        </w:r>
        <w:r w:rsidR="00DB48B2">
          <w:rPr>
            <w:noProof/>
            <w:webHidden/>
          </w:rPr>
          <w:tab/>
        </w:r>
        <w:r w:rsidR="00AE20B4">
          <w:rPr>
            <w:noProof/>
            <w:webHidden/>
          </w:rPr>
          <w:t>21</w:t>
        </w:r>
      </w:hyperlink>
    </w:p>
    <w:p w:rsidR="00DB48B2" w:rsidRDefault="00826CCF" w:rsidP="00AE20B4">
      <w:pPr>
        <w:pStyle w:val="TM3"/>
        <w:rPr>
          <w:rFonts w:asciiTheme="minorHAnsi" w:eastAsiaTheme="minorEastAsia" w:hAnsiTheme="minorHAnsi" w:cstheme="minorBidi"/>
          <w:noProof/>
          <w:sz w:val="22"/>
        </w:rPr>
      </w:pPr>
      <w:hyperlink w:anchor="_Toc431979985" w:history="1">
        <w:r w:rsidR="00DB48B2">
          <w:rPr>
            <w:rFonts w:asciiTheme="minorHAnsi" w:eastAsiaTheme="minorEastAsia" w:hAnsiTheme="minorHAnsi" w:cstheme="minorBidi"/>
            <w:noProof/>
            <w:sz w:val="22"/>
          </w:rPr>
          <w:tab/>
        </w:r>
        <w:r w:rsidR="000C2DA3">
          <w:rPr>
            <w:rStyle w:val="Lienhypertexte"/>
            <w:noProof/>
          </w:rPr>
          <w:t>2.3.1</w:t>
        </w:r>
        <w:r w:rsidR="00DB48B2" w:rsidRPr="00E71823">
          <w:rPr>
            <w:rStyle w:val="Lienhypertexte"/>
            <w:noProof/>
          </w:rPr>
          <w:t xml:space="preserve"> Contexte de promulgation de la loi relative à la monnaie et au crédit.</w:t>
        </w:r>
        <w:r w:rsidR="00DB48B2">
          <w:rPr>
            <w:noProof/>
            <w:webHidden/>
          </w:rPr>
          <w:tab/>
        </w:r>
        <w:r w:rsidR="00AE20B4">
          <w:rPr>
            <w:noProof/>
            <w:webHidden/>
          </w:rPr>
          <w:t>21</w:t>
        </w:r>
      </w:hyperlink>
    </w:p>
    <w:p w:rsidR="00DB48B2" w:rsidRDefault="00826CCF" w:rsidP="00AE20B4">
      <w:pPr>
        <w:pStyle w:val="TM3"/>
        <w:rPr>
          <w:rFonts w:asciiTheme="minorHAnsi" w:eastAsiaTheme="minorEastAsia" w:hAnsiTheme="minorHAnsi" w:cstheme="minorBidi"/>
          <w:noProof/>
          <w:sz w:val="22"/>
        </w:rPr>
      </w:pPr>
      <w:hyperlink w:anchor="_Toc431979986" w:history="1">
        <w:r w:rsidR="00DB48B2">
          <w:rPr>
            <w:rFonts w:asciiTheme="minorHAnsi" w:eastAsiaTheme="minorEastAsia" w:hAnsiTheme="minorHAnsi" w:cstheme="minorBidi"/>
            <w:noProof/>
            <w:sz w:val="22"/>
          </w:rPr>
          <w:tab/>
        </w:r>
        <w:r w:rsidR="000C2DA3">
          <w:rPr>
            <w:rStyle w:val="Lienhypertexte"/>
            <w:noProof/>
          </w:rPr>
          <w:t>2.3.2</w:t>
        </w:r>
        <w:r w:rsidR="00DB48B2" w:rsidRPr="00E71823">
          <w:rPr>
            <w:rStyle w:val="Lienhypertexte"/>
            <w:noProof/>
          </w:rPr>
          <w:t xml:space="preserve"> Les conditions d’adoption de la loi</w:t>
        </w:r>
        <w:r w:rsidR="00DB48B2">
          <w:rPr>
            <w:noProof/>
            <w:webHidden/>
          </w:rPr>
          <w:tab/>
        </w:r>
        <w:r w:rsidR="00AE20B4">
          <w:rPr>
            <w:noProof/>
            <w:webHidden/>
          </w:rPr>
          <w:t>21</w:t>
        </w:r>
      </w:hyperlink>
    </w:p>
    <w:p w:rsidR="00DB48B2" w:rsidRDefault="00826CCF" w:rsidP="00AE20B4">
      <w:pPr>
        <w:pStyle w:val="TM3"/>
        <w:rPr>
          <w:rFonts w:asciiTheme="minorHAnsi" w:eastAsiaTheme="minorEastAsia" w:hAnsiTheme="minorHAnsi" w:cstheme="minorBidi"/>
          <w:noProof/>
          <w:sz w:val="22"/>
        </w:rPr>
      </w:pPr>
      <w:hyperlink w:anchor="_Toc431979987" w:history="1">
        <w:r w:rsidR="00DB48B2">
          <w:rPr>
            <w:rFonts w:asciiTheme="minorHAnsi" w:eastAsiaTheme="minorEastAsia" w:hAnsiTheme="minorHAnsi" w:cstheme="minorBidi"/>
            <w:noProof/>
            <w:sz w:val="22"/>
          </w:rPr>
          <w:tab/>
        </w:r>
        <w:r w:rsidR="000C2DA3">
          <w:rPr>
            <w:rStyle w:val="Lienhypertexte"/>
            <w:noProof/>
          </w:rPr>
          <w:t>2.3.3</w:t>
        </w:r>
        <w:r w:rsidR="00DB48B2" w:rsidRPr="00E71823">
          <w:rPr>
            <w:rStyle w:val="Lienhypertexte"/>
            <w:noProof/>
          </w:rPr>
          <w:t xml:space="preserve"> La mise en place d’un contre-pouvoir</w:t>
        </w:r>
        <w:r w:rsidR="00DB48B2">
          <w:rPr>
            <w:noProof/>
            <w:webHidden/>
          </w:rPr>
          <w:tab/>
        </w:r>
        <w:r w:rsidR="00AE20B4">
          <w:rPr>
            <w:noProof/>
            <w:webHidden/>
          </w:rPr>
          <w:t>22</w:t>
        </w:r>
      </w:hyperlink>
    </w:p>
    <w:p w:rsidR="00DB48B2" w:rsidRDefault="00826CCF" w:rsidP="00AE20B4">
      <w:pPr>
        <w:pStyle w:val="TM3"/>
        <w:rPr>
          <w:rFonts w:asciiTheme="minorHAnsi" w:eastAsiaTheme="minorEastAsia" w:hAnsiTheme="minorHAnsi" w:cstheme="minorBidi"/>
          <w:noProof/>
          <w:sz w:val="22"/>
        </w:rPr>
      </w:pPr>
      <w:hyperlink w:anchor="_Toc431979988" w:history="1">
        <w:r w:rsidR="00DB48B2">
          <w:rPr>
            <w:rFonts w:asciiTheme="minorHAnsi" w:eastAsiaTheme="minorEastAsia" w:hAnsiTheme="minorHAnsi" w:cstheme="minorBidi"/>
            <w:noProof/>
            <w:sz w:val="22"/>
          </w:rPr>
          <w:tab/>
        </w:r>
        <w:r w:rsidR="000C2DA3">
          <w:rPr>
            <w:rStyle w:val="Lienhypertexte"/>
            <w:noProof/>
          </w:rPr>
          <w:t>2.3.4</w:t>
        </w:r>
        <w:r w:rsidR="00DB48B2" w:rsidRPr="00E71823">
          <w:rPr>
            <w:rStyle w:val="Lienhypertexte"/>
            <w:noProof/>
          </w:rPr>
          <w:t xml:space="preserve"> Le conseil de la monnaie et du crédit</w:t>
        </w:r>
        <w:r w:rsidR="00DB48B2">
          <w:rPr>
            <w:noProof/>
            <w:webHidden/>
          </w:rPr>
          <w:tab/>
        </w:r>
        <w:r w:rsidR="00AE20B4">
          <w:rPr>
            <w:noProof/>
            <w:webHidden/>
          </w:rPr>
          <w:t>22</w:t>
        </w:r>
      </w:hyperlink>
    </w:p>
    <w:p w:rsidR="00DB48B2" w:rsidRDefault="00826CCF" w:rsidP="00AE20B4">
      <w:pPr>
        <w:pStyle w:val="TM3"/>
        <w:rPr>
          <w:rFonts w:asciiTheme="minorHAnsi" w:eastAsiaTheme="minorEastAsia" w:hAnsiTheme="minorHAnsi" w:cstheme="minorBidi"/>
          <w:noProof/>
          <w:sz w:val="22"/>
        </w:rPr>
      </w:pPr>
      <w:hyperlink w:anchor="_Toc431979989" w:history="1">
        <w:r w:rsidR="00DB48B2">
          <w:rPr>
            <w:rFonts w:asciiTheme="minorHAnsi" w:eastAsiaTheme="minorEastAsia" w:hAnsiTheme="minorHAnsi" w:cstheme="minorBidi"/>
            <w:noProof/>
            <w:sz w:val="22"/>
          </w:rPr>
          <w:tab/>
        </w:r>
        <w:r w:rsidR="000C2DA3">
          <w:rPr>
            <w:rStyle w:val="Lienhypertexte"/>
            <w:noProof/>
          </w:rPr>
          <w:t>2.3.5</w:t>
        </w:r>
        <w:r w:rsidR="00DB48B2" w:rsidRPr="00E71823">
          <w:rPr>
            <w:rStyle w:val="Lienhypertexte"/>
            <w:noProof/>
          </w:rPr>
          <w:t xml:space="preserve"> L’ouverture de l’espace bancaire Algérien</w:t>
        </w:r>
        <w:r w:rsidR="00DB48B2">
          <w:rPr>
            <w:noProof/>
            <w:webHidden/>
          </w:rPr>
          <w:tab/>
        </w:r>
        <w:r w:rsidR="00AE20B4">
          <w:rPr>
            <w:noProof/>
            <w:webHidden/>
          </w:rPr>
          <w:t>23</w:t>
        </w:r>
      </w:hyperlink>
    </w:p>
    <w:p w:rsidR="00DB48B2" w:rsidRDefault="00826CCF" w:rsidP="00AE20B4">
      <w:pPr>
        <w:pStyle w:val="TM2"/>
        <w:rPr>
          <w:rFonts w:asciiTheme="minorHAnsi" w:eastAsiaTheme="minorEastAsia" w:hAnsiTheme="minorHAnsi" w:cstheme="minorBidi"/>
          <w:noProof/>
          <w:sz w:val="22"/>
        </w:rPr>
      </w:pPr>
      <w:hyperlink w:anchor="_Toc431979990" w:history="1">
        <w:r w:rsidR="000C2DA3">
          <w:rPr>
            <w:rStyle w:val="Lienhypertexte"/>
            <w:noProof/>
          </w:rPr>
          <w:t>2.4</w:t>
        </w:r>
        <w:r w:rsidR="00DB48B2" w:rsidRPr="00E71823">
          <w:rPr>
            <w:rStyle w:val="Lienhypertexte"/>
            <w:noProof/>
          </w:rPr>
          <w:t xml:space="preserve"> L’ordonnance N° 03-11 du 26 Août 2003, relative à la monnaie et au crédit abrogeant la loi 90-10du 14 Avril relative à la monnaie et au crédit modifiée et complétée.</w:t>
        </w:r>
        <w:r w:rsidR="00DB48B2">
          <w:rPr>
            <w:noProof/>
            <w:webHidden/>
          </w:rPr>
          <w:tab/>
        </w:r>
        <w:r w:rsidR="00AE20B4">
          <w:rPr>
            <w:noProof/>
            <w:webHidden/>
          </w:rPr>
          <w:t>23</w:t>
        </w:r>
      </w:hyperlink>
    </w:p>
    <w:p w:rsidR="00DB48B2" w:rsidRDefault="00826CCF" w:rsidP="00AE20B4">
      <w:pPr>
        <w:pStyle w:val="TM3"/>
        <w:rPr>
          <w:rFonts w:asciiTheme="minorHAnsi" w:eastAsiaTheme="minorEastAsia" w:hAnsiTheme="minorHAnsi" w:cstheme="minorBidi"/>
          <w:noProof/>
          <w:sz w:val="22"/>
        </w:rPr>
      </w:pPr>
      <w:hyperlink w:anchor="_Toc431979991" w:history="1">
        <w:r w:rsidR="00DB48B2">
          <w:rPr>
            <w:rFonts w:asciiTheme="minorHAnsi" w:eastAsiaTheme="minorEastAsia" w:hAnsiTheme="minorHAnsi" w:cstheme="minorBidi"/>
            <w:noProof/>
            <w:sz w:val="22"/>
          </w:rPr>
          <w:tab/>
        </w:r>
        <w:r w:rsidR="000C2DA3">
          <w:rPr>
            <w:rStyle w:val="Lienhypertexte"/>
            <w:noProof/>
          </w:rPr>
          <w:t>2.4.1</w:t>
        </w:r>
        <w:r w:rsidR="00DB48B2" w:rsidRPr="00E71823">
          <w:rPr>
            <w:rStyle w:val="Lienhypertexte"/>
            <w:noProof/>
          </w:rPr>
          <w:t xml:space="preserve"> compteurs de l’ordonnance N° 03-11 du 26-aout 2003</w:t>
        </w:r>
        <w:r w:rsidR="00DB48B2">
          <w:rPr>
            <w:noProof/>
            <w:webHidden/>
          </w:rPr>
          <w:tab/>
        </w:r>
        <w:r w:rsidR="00AE20B4">
          <w:rPr>
            <w:noProof/>
            <w:webHidden/>
          </w:rPr>
          <w:t>24</w:t>
        </w:r>
      </w:hyperlink>
    </w:p>
    <w:p w:rsidR="00DB48B2" w:rsidRDefault="00826CCF" w:rsidP="00AE20B4">
      <w:pPr>
        <w:pStyle w:val="TM3"/>
        <w:rPr>
          <w:rFonts w:asciiTheme="minorHAnsi" w:eastAsiaTheme="minorEastAsia" w:hAnsiTheme="minorHAnsi" w:cstheme="minorBidi"/>
          <w:noProof/>
          <w:sz w:val="22"/>
        </w:rPr>
      </w:pPr>
      <w:hyperlink w:anchor="_Toc431979992" w:history="1">
        <w:r w:rsidR="00DB48B2">
          <w:rPr>
            <w:rFonts w:asciiTheme="minorHAnsi" w:eastAsiaTheme="minorEastAsia" w:hAnsiTheme="minorHAnsi" w:cstheme="minorBidi"/>
            <w:noProof/>
            <w:sz w:val="22"/>
          </w:rPr>
          <w:tab/>
        </w:r>
        <w:r w:rsidR="000C2DA3">
          <w:rPr>
            <w:rStyle w:val="Lienhypertexte"/>
            <w:noProof/>
          </w:rPr>
          <w:t>2.4.2</w:t>
        </w:r>
        <w:r w:rsidR="00DB48B2" w:rsidRPr="00E71823">
          <w:rPr>
            <w:rStyle w:val="Lienhypertexte"/>
            <w:noProof/>
          </w:rPr>
          <w:t xml:space="preserve"> Rappel du statut de l’établissement financier et des catégories juridiques</w:t>
        </w:r>
        <w:r w:rsidR="00DB48B2">
          <w:rPr>
            <w:noProof/>
            <w:webHidden/>
          </w:rPr>
          <w:tab/>
        </w:r>
        <w:r w:rsidR="000C2DA3">
          <w:rPr>
            <w:noProof/>
            <w:webHidden/>
          </w:rPr>
          <w:t>………………………………………………………………………………</w:t>
        </w:r>
        <w:r w:rsidR="00AE20B4">
          <w:rPr>
            <w:noProof/>
            <w:webHidden/>
          </w:rPr>
          <w:t>24</w:t>
        </w:r>
      </w:hyperlink>
    </w:p>
    <w:p w:rsidR="00DB48B2" w:rsidRDefault="00826CCF" w:rsidP="00AE20B4">
      <w:pPr>
        <w:pStyle w:val="TM3"/>
        <w:rPr>
          <w:rFonts w:asciiTheme="minorHAnsi" w:eastAsiaTheme="minorEastAsia" w:hAnsiTheme="minorHAnsi" w:cstheme="minorBidi"/>
          <w:noProof/>
          <w:sz w:val="22"/>
        </w:rPr>
      </w:pPr>
      <w:hyperlink w:anchor="_Toc431979993" w:history="1">
        <w:r w:rsidR="00DB48B2">
          <w:rPr>
            <w:rFonts w:asciiTheme="minorHAnsi" w:eastAsiaTheme="minorEastAsia" w:hAnsiTheme="minorHAnsi" w:cstheme="minorBidi"/>
            <w:noProof/>
            <w:sz w:val="22"/>
          </w:rPr>
          <w:tab/>
        </w:r>
        <w:r w:rsidR="000C2DA3">
          <w:rPr>
            <w:rStyle w:val="Lienhypertexte"/>
            <w:noProof/>
          </w:rPr>
          <w:t>2.4.3</w:t>
        </w:r>
        <w:r w:rsidR="00DB48B2" w:rsidRPr="00E71823">
          <w:rPr>
            <w:rStyle w:val="Lienhypertexte"/>
            <w:noProof/>
          </w:rPr>
          <w:t xml:space="preserve"> La règle du capital minimum et le régime de participation et des ressources obligatoires</w:t>
        </w:r>
        <w:r w:rsidR="00DB48B2">
          <w:rPr>
            <w:noProof/>
            <w:webHidden/>
          </w:rPr>
          <w:tab/>
        </w:r>
        <w:r w:rsidR="00AE20B4">
          <w:rPr>
            <w:noProof/>
            <w:webHidden/>
          </w:rPr>
          <w:t>24</w:t>
        </w:r>
      </w:hyperlink>
    </w:p>
    <w:p w:rsidR="00DB48B2" w:rsidRDefault="00826CCF" w:rsidP="00AE20B4">
      <w:pPr>
        <w:pStyle w:val="TM3"/>
        <w:rPr>
          <w:rFonts w:asciiTheme="minorHAnsi" w:eastAsiaTheme="minorEastAsia" w:hAnsiTheme="minorHAnsi" w:cstheme="minorBidi"/>
          <w:noProof/>
          <w:sz w:val="22"/>
        </w:rPr>
      </w:pPr>
      <w:hyperlink w:anchor="_Toc431979994" w:history="1">
        <w:r w:rsidR="00DB48B2">
          <w:rPr>
            <w:rFonts w:asciiTheme="minorHAnsi" w:eastAsiaTheme="minorEastAsia" w:hAnsiTheme="minorHAnsi" w:cstheme="minorBidi"/>
            <w:noProof/>
            <w:sz w:val="22"/>
          </w:rPr>
          <w:tab/>
        </w:r>
        <w:r w:rsidR="000C2DA3">
          <w:rPr>
            <w:rStyle w:val="Lienhypertexte"/>
            <w:noProof/>
          </w:rPr>
          <w:t>2.4.4</w:t>
        </w:r>
        <w:r w:rsidR="00DB48B2" w:rsidRPr="00E71823">
          <w:rPr>
            <w:rStyle w:val="Lienhypertexte"/>
            <w:noProof/>
          </w:rPr>
          <w:t xml:space="preserve"> Renforcement de la suppression bancaire</w:t>
        </w:r>
        <w:r w:rsidR="00DB48B2">
          <w:rPr>
            <w:noProof/>
            <w:webHidden/>
          </w:rPr>
          <w:tab/>
        </w:r>
        <w:r w:rsidR="00AE20B4">
          <w:rPr>
            <w:noProof/>
            <w:webHidden/>
          </w:rPr>
          <w:t>25</w:t>
        </w:r>
      </w:hyperlink>
    </w:p>
    <w:p w:rsidR="00DB48B2" w:rsidRDefault="00826CCF" w:rsidP="00AE20B4">
      <w:pPr>
        <w:pStyle w:val="TM3"/>
        <w:rPr>
          <w:rFonts w:asciiTheme="minorHAnsi" w:eastAsiaTheme="minorEastAsia" w:hAnsiTheme="minorHAnsi" w:cstheme="minorBidi"/>
          <w:noProof/>
          <w:sz w:val="22"/>
        </w:rPr>
      </w:pPr>
      <w:hyperlink w:anchor="_Toc431979995" w:history="1">
        <w:r w:rsidR="00DB48B2">
          <w:rPr>
            <w:rFonts w:asciiTheme="minorHAnsi" w:eastAsiaTheme="minorEastAsia" w:hAnsiTheme="minorHAnsi" w:cstheme="minorBidi"/>
            <w:noProof/>
            <w:sz w:val="22"/>
          </w:rPr>
          <w:tab/>
        </w:r>
        <w:r w:rsidR="000C2DA3">
          <w:rPr>
            <w:rStyle w:val="Lienhypertexte"/>
            <w:noProof/>
          </w:rPr>
          <w:t>2.4.5</w:t>
        </w:r>
        <w:r w:rsidR="00DB48B2" w:rsidRPr="00E71823">
          <w:rPr>
            <w:rStyle w:val="Lienhypertexte"/>
            <w:noProof/>
          </w:rPr>
          <w:t xml:space="preserve">  La garantie de dépôts</w:t>
        </w:r>
        <w:r w:rsidR="00DB48B2">
          <w:rPr>
            <w:noProof/>
            <w:webHidden/>
          </w:rPr>
          <w:tab/>
        </w:r>
        <w:r w:rsidR="00AE20B4">
          <w:rPr>
            <w:noProof/>
            <w:webHidden/>
          </w:rPr>
          <w:t>25</w:t>
        </w:r>
      </w:hyperlink>
    </w:p>
    <w:p w:rsidR="00DB48B2" w:rsidRDefault="00826CCF" w:rsidP="00AE20B4">
      <w:pPr>
        <w:pStyle w:val="TM3"/>
        <w:rPr>
          <w:rFonts w:asciiTheme="minorHAnsi" w:eastAsiaTheme="minorEastAsia" w:hAnsiTheme="minorHAnsi" w:cstheme="minorBidi"/>
          <w:noProof/>
          <w:sz w:val="22"/>
        </w:rPr>
      </w:pPr>
      <w:hyperlink w:anchor="_Toc431979996" w:history="1">
        <w:r w:rsidR="00DB48B2">
          <w:rPr>
            <w:rFonts w:asciiTheme="minorHAnsi" w:eastAsiaTheme="minorEastAsia" w:hAnsiTheme="minorHAnsi" w:cstheme="minorBidi"/>
            <w:noProof/>
            <w:sz w:val="22"/>
          </w:rPr>
          <w:tab/>
        </w:r>
        <w:r w:rsidR="000C2DA3">
          <w:rPr>
            <w:rStyle w:val="Lienhypertexte"/>
            <w:noProof/>
          </w:rPr>
          <w:t>2.4.6</w:t>
        </w:r>
        <w:r w:rsidR="00DB48B2" w:rsidRPr="00E71823">
          <w:rPr>
            <w:rStyle w:val="Lienhypertexte"/>
            <w:noProof/>
          </w:rPr>
          <w:t xml:space="preserve"> Les organismes à l’extérieur de la législation bancaire</w:t>
        </w:r>
        <w:r w:rsidR="00DB48B2">
          <w:rPr>
            <w:noProof/>
            <w:webHidden/>
          </w:rPr>
          <w:tab/>
        </w:r>
        <w:r w:rsidR="00AE20B4">
          <w:rPr>
            <w:noProof/>
            <w:webHidden/>
          </w:rPr>
          <w:t>25</w:t>
        </w:r>
      </w:hyperlink>
    </w:p>
    <w:p w:rsidR="00DB48B2" w:rsidRDefault="00826CCF" w:rsidP="00AE20B4">
      <w:pPr>
        <w:pStyle w:val="TM3"/>
        <w:rPr>
          <w:rFonts w:asciiTheme="minorHAnsi" w:eastAsiaTheme="minorEastAsia" w:hAnsiTheme="minorHAnsi" w:cstheme="minorBidi"/>
          <w:noProof/>
          <w:sz w:val="22"/>
        </w:rPr>
      </w:pPr>
      <w:hyperlink w:anchor="_Toc431979997" w:history="1">
        <w:r w:rsidR="00DB48B2">
          <w:rPr>
            <w:rFonts w:asciiTheme="minorHAnsi" w:eastAsiaTheme="minorEastAsia" w:hAnsiTheme="minorHAnsi" w:cstheme="minorBidi"/>
            <w:noProof/>
            <w:sz w:val="22"/>
          </w:rPr>
          <w:tab/>
        </w:r>
        <w:r w:rsidR="000C2DA3">
          <w:rPr>
            <w:rStyle w:val="Lienhypertexte"/>
            <w:noProof/>
          </w:rPr>
          <w:t>2.4.7</w:t>
        </w:r>
        <w:r w:rsidR="00DB48B2" w:rsidRPr="00E71823">
          <w:rPr>
            <w:rStyle w:val="Lienhypertexte"/>
            <w:noProof/>
          </w:rPr>
          <w:t xml:space="preserve">  La transposition des normes comptables internationales</w:t>
        </w:r>
        <w:r w:rsidR="00DB48B2">
          <w:rPr>
            <w:noProof/>
            <w:webHidden/>
          </w:rPr>
          <w:tab/>
        </w:r>
        <w:r w:rsidR="00AE20B4">
          <w:rPr>
            <w:noProof/>
            <w:webHidden/>
          </w:rPr>
          <w:t>25</w:t>
        </w:r>
      </w:hyperlink>
    </w:p>
    <w:p w:rsidR="00DB48B2" w:rsidRDefault="00826CCF" w:rsidP="00184DE9">
      <w:pPr>
        <w:pStyle w:val="TM3"/>
        <w:rPr>
          <w:rFonts w:asciiTheme="minorHAnsi" w:eastAsiaTheme="minorEastAsia" w:hAnsiTheme="minorHAnsi" w:cstheme="minorBidi"/>
          <w:noProof/>
          <w:sz w:val="22"/>
        </w:rPr>
      </w:pPr>
      <w:hyperlink w:anchor="_Toc431979998" w:history="1">
        <w:r w:rsidR="00DB48B2">
          <w:rPr>
            <w:rFonts w:asciiTheme="minorHAnsi" w:eastAsiaTheme="minorEastAsia" w:hAnsiTheme="minorHAnsi" w:cstheme="minorBidi"/>
            <w:noProof/>
            <w:sz w:val="22"/>
          </w:rPr>
          <w:tab/>
        </w:r>
        <w:r w:rsidR="000C2DA3">
          <w:rPr>
            <w:rStyle w:val="Lienhypertexte"/>
            <w:noProof/>
          </w:rPr>
          <w:t>2.4.8</w:t>
        </w:r>
        <w:r w:rsidR="00DB48B2" w:rsidRPr="00E71823">
          <w:rPr>
            <w:rStyle w:val="Lienhypertexte"/>
            <w:noProof/>
          </w:rPr>
          <w:t xml:space="preserve"> Le repositionnement de l’Association des Banques et Etablissements Financiers(ABEF)</w:t>
        </w:r>
        <w:r w:rsidR="00DB48B2">
          <w:rPr>
            <w:noProof/>
            <w:webHidden/>
          </w:rPr>
          <w:tab/>
        </w:r>
        <w:r w:rsidR="00375DC2">
          <w:rPr>
            <w:noProof/>
            <w:webHidden/>
          </w:rPr>
          <w:fldChar w:fldCharType="begin"/>
        </w:r>
        <w:r w:rsidR="00DB48B2">
          <w:rPr>
            <w:noProof/>
            <w:webHidden/>
          </w:rPr>
          <w:instrText xml:space="preserve"> PAGEREF _Toc431979998 \h </w:instrText>
        </w:r>
        <w:r w:rsidR="00375DC2">
          <w:rPr>
            <w:noProof/>
            <w:webHidden/>
          </w:rPr>
        </w:r>
        <w:r w:rsidR="00375DC2">
          <w:rPr>
            <w:noProof/>
            <w:webHidden/>
          </w:rPr>
          <w:fldChar w:fldCharType="separate"/>
        </w:r>
        <w:r w:rsidR="00593D6A">
          <w:rPr>
            <w:noProof/>
            <w:webHidden/>
          </w:rPr>
          <w:t>2</w:t>
        </w:r>
        <w:r w:rsidR="00184DE9">
          <w:rPr>
            <w:noProof/>
            <w:webHidden/>
          </w:rPr>
          <w:t>6</w:t>
        </w:r>
        <w:r w:rsidR="00375DC2">
          <w:rPr>
            <w:noProof/>
            <w:webHidden/>
          </w:rPr>
          <w:fldChar w:fldCharType="end"/>
        </w:r>
      </w:hyperlink>
    </w:p>
    <w:p w:rsidR="00DB48B2" w:rsidRDefault="00826CCF" w:rsidP="00184DE9">
      <w:pPr>
        <w:pStyle w:val="TM1"/>
        <w:rPr>
          <w:rFonts w:asciiTheme="minorHAnsi" w:eastAsiaTheme="minorEastAsia" w:hAnsiTheme="minorHAnsi" w:cstheme="minorBidi"/>
          <w:noProof/>
          <w:sz w:val="22"/>
        </w:rPr>
      </w:pPr>
      <w:hyperlink w:anchor="_Toc431979999" w:history="1">
        <w:r w:rsidR="00DB48B2" w:rsidRPr="00E71823">
          <w:rPr>
            <w:rStyle w:val="Lienhypertexte"/>
            <w:noProof/>
          </w:rPr>
          <w:t>Section 02 : La notion de la liquidité</w:t>
        </w:r>
        <w:r w:rsidR="00DB48B2">
          <w:rPr>
            <w:noProof/>
            <w:webHidden/>
          </w:rPr>
          <w:tab/>
        </w:r>
        <w:r w:rsidR="00375DC2">
          <w:rPr>
            <w:noProof/>
            <w:webHidden/>
          </w:rPr>
          <w:fldChar w:fldCharType="begin"/>
        </w:r>
        <w:r w:rsidR="00DB48B2">
          <w:rPr>
            <w:noProof/>
            <w:webHidden/>
          </w:rPr>
          <w:instrText xml:space="preserve"> PAGEREF _Toc431979999 \h </w:instrText>
        </w:r>
        <w:r w:rsidR="00375DC2">
          <w:rPr>
            <w:noProof/>
            <w:webHidden/>
          </w:rPr>
        </w:r>
        <w:r w:rsidR="00375DC2">
          <w:rPr>
            <w:noProof/>
            <w:webHidden/>
          </w:rPr>
          <w:fldChar w:fldCharType="separate"/>
        </w:r>
        <w:r w:rsidR="00593D6A">
          <w:rPr>
            <w:noProof/>
            <w:webHidden/>
          </w:rPr>
          <w:t>2</w:t>
        </w:r>
        <w:r w:rsidR="00184DE9">
          <w:rPr>
            <w:noProof/>
            <w:webHidden/>
          </w:rPr>
          <w:t>7</w:t>
        </w:r>
        <w:r w:rsidR="00375DC2">
          <w:rPr>
            <w:noProof/>
            <w:webHidden/>
          </w:rPr>
          <w:fldChar w:fldCharType="end"/>
        </w:r>
      </w:hyperlink>
    </w:p>
    <w:p w:rsidR="00DB48B2" w:rsidRDefault="00826CCF" w:rsidP="00184DE9">
      <w:pPr>
        <w:pStyle w:val="TM2"/>
        <w:rPr>
          <w:rFonts w:asciiTheme="minorHAnsi" w:eastAsiaTheme="minorEastAsia" w:hAnsiTheme="minorHAnsi" w:cstheme="minorBidi"/>
          <w:noProof/>
          <w:sz w:val="22"/>
        </w:rPr>
      </w:pPr>
      <w:hyperlink w:anchor="_Toc431980000" w:history="1">
        <w:r w:rsidR="00977420">
          <w:rPr>
            <w:rStyle w:val="Lienhypertexte"/>
            <w:noProof/>
          </w:rPr>
          <w:t>1.</w:t>
        </w:r>
        <w:r w:rsidR="00DB48B2" w:rsidRPr="00E71823">
          <w:rPr>
            <w:rStyle w:val="Lienhypertexte"/>
            <w:noProof/>
          </w:rPr>
          <w:t xml:space="preserve"> La liquidité au sens large :</w:t>
        </w:r>
        <w:r w:rsidR="00DB48B2">
          <w:rPr>
            <w:noProof/>
            <w:webHidden/>
          </w:rPr>
          <w:tab/>
        </w:r>
        <w:r w:rsidR="00375DC2">
          <w:rPr>
            <w:noProof/>
            <w:webHidden/>
          </w:rPr>
          <w:fldChar w:fldCharType="begin"/>
        </w:r>
        <w:r w:rsidR="00DB48B2">
          <w:rPr>
            <w:noProof/>
            <w:webHidden/>
          </w:rPr>
          <w:instrText xml:space="preserve"> PAGEREF _Toc431980000 \h </w:instrText>
        </w:r>
        <w:r w:rsidR="00375DC2">
          <w:rPr>
            <w:noProof/>
            <w:webHidden/>
          </w:rPr>
        </w:r>
        <w:r w:rsidR="00375DC2">
          <w:rPr>
            <w:noProof/>
            <w:webHidden/>
          </w:rPr>
          <w:fldChar w:fldCharType="separate"/>
        </w:r>
        <w:r w:rsidR="00593D6A">
          <w:rPr>
            <w:noProof/>
            <w:webHidden/>
          </w:rPr>
          <w:t>2</w:t>
        </w:r>
        <w:r w:rsidR="00184DE9">
          <w:rPr>
            <w:noProof/>
            <w:webHidden/>
          </w:rPr>
          <w:t>7</w:t>
        </w:r>
        <w:r w:rsidR="00375DC2">
          <w:rPr>
            <w:noProof/>
            <w:webHidden/>
          </w:rPr>
          <w:fldChar w:fldCharType="end"/>
        </w:r>
      </w:hyperlink>
    </w:p>
    <w:p w:rsidR="00DB48B2" w:rsidRDefault="00826CCF" w:rsidP="00184DE9">
      <w:pPr>
        <w:pStyle w:val="TM2"/>
        <w:rPr>
          <w:rFonts w:asciiTheme="minorHAnsi" w:eastAsiaTheme="minorEastAsia" w:hAnsiTheme="minorHAnsi" w:cstheme="minorBidi"/>
          <w:noProof/>
          <w:sz w:val="22"/>
        </w:rPr>
      </w:pPr>
      <w:hyperlink w:anchor="_Toc431980001" w:history="1">
        <w:r w:rsidR="00977420">
          <w:rPr>
            <w:rStyle w:val="Lienhypertexte"/>
            <w:noProof/>
          </w:rPr>
          <w:t xml:space="preserve">2. </w:t>
        </w:r>
        <w:r w:rsidR="00DB48B2" w:rsidRPr="00E71823">
          <w:rPr>
            <w:rStyle w:val="Lienhypertexte"/>
            <w:noProof/>
          </w:rPr>
          <w:t>La liquidité de l’économie :</w:t>
        </w:r>
        <w:r w:rsidR="00DB48B2">
          <w:rPr>
            <w:noProof/>
            <w:webHidden/>
          </w:rPr>
          <w:tab/>
        </w:r>
        <w:r w:rsidR="00375DC2">
          <w:rPr>
            <w:noProof/>
            <w:webHidden/>
          </w:rPr>
          <w:fldChar w:fldCharType="begin"/>
        </w:r>
        <w:r w:rsidR="00DB48B2">
          <w:rPr>
            <w:noProof/>
            <w:webHidden/>
          </w:rPr>
          <w:instrText xml:space="preserve"> PAGEREF _Toc431980001 \h </w:instrText>
        </w:r>
        <w:r w:rsidR="00375DC2">
          <w:rPr>
            <w:noProof/>
            <w:webHidden/>
          </w:rPr>
        </w:r>
        <w:r w:rsidR="00375DC2">
          <w:rPr>
            <w:noProof/>
            <w:webHidden/>
          </w:rPr>
          <w:fldChar w:fldCharType="separate"/>
        </w:r>
        <w:r w:rsidR="00593D6A">
          <w:rPr>
            <w:noProof/>
            <w:webHidden/>
          </w:rPr>
          <w:t>2</w:t>
        </w:r>
        <w:r w:rsidR="00184DE9">
          <w:rPr>
            <w:noProof/>
            <w:webHidden/>
          </w:rPr>
          <w:t>7</w:t>
        </w:r>
        <w:r w:rsidR="00375DC2">
          <w:rPr>
            <w:noProof/>
            <w:webHidden/>
          </w:rPr>
          <w:fldChar w:fldCharType="end"/>
        </w:r>
      </w:hyperlink>
    </w:p>
    <w:p w:rsidR="00DB48B2" w:rsidRDefault="00826CCF" w:rsidP="00184DE9">
      <w:pPr>
        <w:pStyle w:val="TM2"/>
        <w:rPr>
          <w:rFonts w:asciiTheme="minorHAnsi" w:eastAsiaTheme="minorEastAsia" w:hAnsiTheme="minorHAnsi" w:cstheme="minorBidi"/>
          <w:noProof/>
          <w:sz w:val="22"/>
        </w:rPr>
      </w:pPr>
      <w:hyperlink w:anchor="_Toc431980002" w:history="1">
        <w:r w:rsidR="00977420">
          <w:rPr>
            <w:rStyle w:val="Lienhypertexte"/>
            <w:noProof/>
          </w:rPr>
          <w:t xml:space="preserve">3. </w:t>
        </w:r>
        <w:r w:rsidR="00DB48B2" w:rsidRPr="00E71823">
          <w:rPr>
            <w:rStyle w:val="Lienhypertexte"/>
            <w:noProof/>
          </w:rPr>
          <w:t>La liquidité bancaire :</w:t>
        </w:r>
        <w:r w:rsidR="00DB48B2">
          <w:rPr>
            <w:noProof/>
            <w:webHidden/>
          </w:rPr>
          <w:tab/>
        </w:r>
        <w:r w:rsidR="00375DC2">
          <w:rPr>
            <w:noProof/>
            <w:webHidden/>
          </w:rPr>
          <w:fldChar w:fldCharType="begin"/>
        </w:r>
        <w:r w:rsidR="00DB48B2">
          <w:rPr>
            <w:noProof/>
            <w:webHidden/>
          </w:rPr>
          <w:instrText xml:space="preserve"> PAGEREF _Toc431980002 \h </w:instrText>
        </w:r>
        <w:r w:rsidR="00375DC2">
          <w:rPr>
            <w:noProof/>
            <w:webHidden/>
          </w:rPr>
        </w:r>
        <w:r w:rsidR="00375DC2">
          <w:rPr>
            <w:noProof/>
            <w:webHidden/>
          </w:rPr>
          <w:fldChar w:fldCharType="separate"/>
        </w:r>
        <w:r w:rsidR="00593D6A">
          <w:rPr>
            <w:noProof/>
            <w:webHidden/>
          </w:rPr>
          <w:t>2</w:t>
        </w:r>
        <w:r w:rsidR="00184DE9">
          <w:rPr>
            <w:noProof/>
            <w:webHidden/>
          </w:rPr>
          <w:t>8</w:t>
        </w:r>
        <w:r w:rsidR="00375DC2">
          <w:rPr>
            <w:noProof/>
            <w:webHidden/>
          </w:rPr>
          <w:fldChar w:fldCharType="end"/>
        </w:r>
      </w:hyperlink>
    </w:p>
    <w:p w:rsidR="00DB48B2" w:rsidRDefault="00826CCF" w:rsidP="00184DE9">
      <w:pPr>
        <w:pStyle w:val="TM2"/>
        <w:rPr>
          <w:rFonts w:asciiTheme="minorHAnsi" w:eastAsiaTheme="minorEastAsia" w:hAnsiTheme="minorHAnsi" w:cstheme="minorBidi"/>
          <w:noProof/>
          <w:sz w:val="22"/>
        </w:rPr>
      </w:pPr>
      <w:hyperlink w:anchor="_Toc431980003" w:history="1">
        <w:r w:rsidR="00977420">
          <w:rPr>
            <w:rStyle w:val="Lienhypertexte"/>
            <w:noProof/>
          </w:rPr>
          <w:t>3.1</w:t>
        </w:r>
        <w:r w:rsidR="00DB48B2" w:rsidRPr="00E71823">
          <w:rPr>
            <w:rStyle w:val="Lienhypertexte"/>
            <w:noProof/>
          </w:rPr>
          <w:t xml:space="preserve"> Présentation du bilan de la banque :</w:t>
        </w:r>
        <w:r w:rsidR="00DB48B2">
          <w:rPr>
            <w:noProof/>
            <w:webHidden/>
          </w:rPr>
          <w:tab/>
        </w:r>
        <w:r w:rsidR="00375DC2">
          <w:rPr>
            <w:noProof/>
            <w:webHidden/>
          </w:rPr>
          <w:fldChar w:fldCharType="begin"/>
        </w:r>
        <w:r w:rsidR="00DB48B2">
          <w:rPr>
            <w:noProof/>
            <w:webHidden/>
          </w:rPr>
          <w:instrText xml:space="preserve"> PAGEREF _Toc431980003 \h </w:instrText>
        </w:r>
        <w:r w:rsidR="00375DC2">
          <w:rPr>
            <w:noProof/>
            <w:webHidden/>
          </w:rPr>
        </w:r>
        <w:r w:rsidR="00375DC2">
          <w:rPr>
            <w:noProof/>
            <w:webHidden/>
          </w:rPr>
          <w:fldChar w:fldCharType="separate"/>
        </w:r>
        <w:r w:rsidR="00184DE9">
          <w:rPr>
            <w:noProof/>
            <w:webHidden/>
          </w:rPr>
          <w:t>30</w:t>
        </w:r>
        <w:r w:rsidR="00375DC2">
          <w:rPr>
            <w:noProof/>
            <w:webHidden/>
          </w:rPr>
          <w:fldChar w:fldCharType="end"/>
        </w:r>
      </w:hyperlink>
    </w:p>
    <w:p w:rsidR="00DB48B2" w:rsidRDefault="00826CCF" w:rsidP="00184DE9">
      <w:pPr>
        <w:pStyle w:val="TM2"/>
        <w:rPr>
          <w:rFonts w:asciiTheme="minorHAnsi" w:eastAsiaTheme="minorEastAsia" w:hAnsiTheme="minorHAnsi" w:cstheme="minorBidi"/>
          <w:noProof/>
          <w:sz w:val="22"/>
        </w:rPr>
      </w:pPr>
      <w:hyperlink w:anchor="_Toc431980004" w:history="1">
        <w:r w:rsidR="00977420">
          <w:rPr>
            <w:rStyle w:val="Lienhypertexte"/>
            <w:noProof/>
          </w:rPr>
          <w:t>3.2</w:t>
        </w:r>
        <w:r w:rsidR="00DB48B2" w:rsidRPr="00E71823">
          <w:rPr>
            <w:rStyle w:val="Lienhypertexte"/>
            <w:noProof/>
          </w:rPr>
          <w:t xml:space="preserve"> Présentation du hors bilan de la banque :</w:t>
        </w:r>
        <w:r w:rsidR="00DB48B2">
          <w:rPr>
            <w:noProof/>
            <w:webHidden/>
          </w:rPr>
          <w:tab/>
        </w:r>
        <w:r w:rsidR="00184DE9">
          <w:rPr>
            <w:noProof/>
            <w:webHidden/>
          </w:rPr>
          <w:t>30</w:t>
        </w:r>
      </w:hyperlink>
    </w:p>
    <w:p w:rsidR="00DB48B2" w:rsidRDefault="00826CCF" w:rsidP="00184DE9">
      <w:pPr>
        <w:pStyle w:val="TM2"/>
        <w:rPr>
          <w:rFonts w:asciiTheme="minorHAnsi" w:eastAsiaTheme="minorEastAsia" w:hAnsiTheme="minorHAnsi" w:cstheme="minorBidi"/>
          <w:noProof/>
          <w:sz w:val="22"/>
        </w:rPr>
      </w:pPr>
      <w:hyperlink w:anchor="_Toc431980005" w:history="1">
        <w:r w:rsidR="00977420">
          <w:rPr>
            <w:rStyle w:val="Lienhypertexte"/>
            <w:noProof/>
          </w:rPr>
          <w:t>3.3</w:t>
        </w:r>
        <w:r w:rsidR="00DB48B2" w:rsidRPr="00E71823">
          <w:rPr>
            <w:rStyle w:val="Lienhypertexte"/>
            <w:noProof/>
          </w:rPr>
          <w:t xml:space="preserve"> Présentation du compte de résultat de la banque :</w:t>
        </w:r>
        <w:r w:rsidR="00DB48B2">
          <w:rPr>
            <w:noProof/>
            <w:webHidden/>
          </w:rPr>
          <w:tab/>
        </w:r>
        <w:r w:rsidR="00184DE9">
          <w:rPr>
            <w:noProof/>
            <w:webHidden/>
          </w:rPr>
          <w:t>31</w:t>
        </w:r>
      </w:hyperlink>
    </w:p>
    <w:p w:rsidR="00DB48B2" w:rsidRDefault="00826CCF" w:rsidP="00184DE9">
      <w:pPr>
        <w:pStyle w:val="TM1"/>
        <w:rPr>
          <w:rFonts w:asciiTheme="minorHAnsi" w:eastAsiaTheme="minorEastAsia" w:hAnsiTheme="minorHAnsi" w:cstheme="minorBidi"/>
          <w:noProof/>
          <w:sz w:val="22"/>
        </w:rPr>
      </w:pPr>
      <w:hyperlink w:anchor="_Toc431980006" w:history="1">
        <w:r w:rsidR="00DB48B2" w:rsidRPr="00E71823">
          <w:rPr>
            <w:rStyle w:val="Lienhypertexte"/>
            <w:noProof/>
          </w:rPr>
          <w:t>CONCLUSION</w:t>
        </w:r>
        <w:r w:rsidR="00DB48B2">
          <w:rPr>
            <w:noProof/>
            <w:webHidden/>
          </w:rPr>
          <w:tab/>
        </w:r>
        <w:r w:rsidR="00184DE9">
          <w:rPr>
            <w:noProof/>
            <w:webHidden/>
          </w:rPr>
          <w:t>34</w:t>
        </w:r>
      </w:hyperlink>
    </w:p>
    <w:p w:rsidR="00DB48B2" w:rsidRDefault="00826CCF" w:rsidP="00184DE9">
      <w:pPr>
        <w:pStyle w:val="TM1"/>
        <w:rPr>
          <w:rFonts w:asciiTheme="minorHAnsi" w:eastAsiaTheme="minorEastAsia" w:hAnsiTheme="minorHAnsi" w:cstheme="minorBidi"/>
          <w:noProof/>
          <w:sz w:val="22"/>
        </w:rPr>
      </w:pPr>
      <w:hyperlink w:anchor="_Toc431980007" w:history="1">
        <w:r w:rsidR="00DB48B2" w:rsidRPr="00E71823">
          <w:rPr>
            <w:rStyle w:val="Lienhypertexte"/>
            <w:noProof/>
          </w:rPr>
          <w:t xml:space="preserve">CHAPITRE II : Indicateurs </w:t>
        </w:r>
        <w:r>
          <w:rPr>
            <w:rStyle w:val="Lienhypertexte"/>
            <w:noProof/>
          </w:rPr>
          <w:t xml:space="preserve"> caractéristiques </w:t>
        </w:r>
        <w:r w:rsidR="00DB48B2" w:rsidRPr="00E71823">
          <w:rPr>
            <w:rStyle w:val="Lienhypertexte"/>
            <w:noProof/>
          </w:rPr>
          <w:t>et conséquences de la surliquidité bancaire en Algérie.</w:t>
        </w:r>
        <w:r w:rsidR="00DB48B2">
          <w:rPr>
            <w:noProof/>
            <w:webHidden/>
          </w:rPr>
          <w:tab/>
        </w:r>
        <w:r w:rsidR="00184DE9">
          <w:rPr>
            <w:noProof/>
            <w:webHidden/>
          </w:rPr>
          <w:t>35</w:t>
        </w:r>
      </w:hyperlink>
    </w:p>
    <w:p w:rsidR="00DB48B2" w:rsidRDefault="00826CCF" w:rsidP="00184DE9">
      <w:pPr>
        <w:pStyle w:val="TM1"/>
        <w:rPr>
          <w:rFonts w:asciiTheme="minorHAnsi" w:eastAsiaTheme="minorEastAsia" w:hAnsiTheme="minorHAnsi" w:cstheme="minorBidi"/>
          <w:noProof/>
          <w:sz w:val="22"/>
        </w:rPr>
      </w:pPr>
      <w:hyperlink w:anchor="_Toc431980008" w:history="1">
        <w:r w:rsidR="00DB48B2" w:rsidRPr="00E71823">
          <w:rPr>
            <w:rStyle w:val="Lienhypertexte"/>
            <w:noProof/>
          </w:rPr>
          <w:t>Introduction</w:t>
        </w:r>
        <w:r w:rsidR="00DB48B2">
          <w:rPr>
            <w:noProof/>
            <w:webHidden/>
          </w:rPr>
          <w:tab/>
        </w:r>
        <w:r w:rsidR="00184DE9">
          <w:rPr>
            <w:noProof/>
            <w:webHidden/>
          </w:rPr>
          <w:t>35</w:t>
        </w:r>
      </w:hyperlink>
    </w:p>
    <w:p w:rsidR="00DB48B2" w:rsidRDefault="00826CCF" w:rsidP="00184DE9">
      <w:pPr>
        <w:pStyle w:val="TM1"/>
        <w:rPr>
          <w:rFonts w:asciiTheme="minorHAnsi" w:eastAsiaTheme="minorEastAsia" w:hAnsiTheme="minorHAnsi" w:cstheme="minorBidi"/>
          <w:noProof/>
          <w:sz w:val="22"/>
        </w:rPr>
      </w:pPr>
      <w:hyperlink w:anchor="_Toc431980009" w:history="1">
        <w:r w:rsidR="00DB48B2" w:rsidRPr="00E71823">
          <w:rPr>
            <w:rStyle w:val="Lienhypertexte"/>
            <w:noProof/>
          </w:rPr>
          <w:t>Section 01 : Les indicateurs de la surliquidité bancaire</w:t>
        </w:r>
        <w:r w:rsidR="00DB48B2">
          <w:rPr>
            <w:noProof/>
            <w:webHidden/>
          </w:rPr>
          <w:tab/>
        </w:r>
        <w:r w:rsidR="00375DC2">
          <w:rPr>
            <w:noProof/>
            <w:webHidden/>
          </w:rPr>
          <w:fldChar w:fldCharType="begin"/>
        </w:r>
        <w:r w:rsidR="00DB48B2">
          <w:rPr>
            <w:noProof/>
            <w:webHidden/>
          </w:rPr>
          <w:instrText xml:space="preserve"> PAGEREF _Toc431980009 \h </w:instrText>
        </w:r>
        <w:r w:rsidR="00375DC2">
          <w:rPr>
            <w:noProof/>
            <w:webHidden/>
          </w:rPr>
        </w:r>
        <w:r w:rsidR="00375DC2">
          <w:rPr>
            <w:noProof/>
            <w:webHidden/>
          </w:rPr>
          <w:fldChar w:fldCharType="separate"/>
        </w:r>
        <w:r w:rsidR="00593D6A">
          <w:rPr>
            <w:noProof/>
            <w:webHidden/>
          </w:rPr>
          <w:t>3</w:t>
        </w:r>
        <w:r w:rsidR="00184DE9">
          <w:rPr>
            <w:noProof/>
            <w:webHidden/>
          </w:rPr>
          <w:t>6</w:t>
        </w:r>
        <w:r w:rsidR="00375DC2">
          <w:rPr>
            <w:noProof/>
            <w:webHidden/>
          </w:rPr>
          <w:fldChar w:fldCharType="end"/>
        </w:r>
      </w:hyperlink>
    </w:p>
    <w:p w:rsidR="00DB48B2" w:rsidRDefault="00826CCF" w:rsidP="00184DE9">
      <w:pPr>
        <w:pStyle w:val="TM1"/>
        <w:rPr>
          <w:noProof/>
        </w:rPr>
      </w:pPr>
      <w:hyperlink w:anchor="_Toc431980010" w:history="1">
        <w:r w:rsidR="00977420">
          <w:rPr>
            <w:rStyle w:val="Lienhypertexte"/>
            <w:noProof/>
          </w:rPr>
          <w:t>1.</w:t>
        </w:r>
        <w:r w:rsidR="00DB48B2">
          <w:rPr>
            <w:rFonts w:asciiTheme="minorHAnsi" w:eastAsiaTheme="minorEastAsia" w:hAnsiTheme="minorHAnsi" w:cstheme="minorBidi"/>
            <w:noProof/>
            <w:sz w:val="22"/>
          </w:rPr>
          <w:tab/>
        </w:r>
        <w:r w:rsidR="00CD4CA3">
          <w:rPr>
            <w:rStyle w:val="Lienhypertexte"/>
            <w:noProof/>
          </w:rPr>
          <w:t>Définition de la surliquidité bancaire</w:t>
        </w:r>
        <w:r w:rsidR="00DB48B2">
          <w:rPr>
            <w:noProof/>
            <w:webHidden/>
          </w:rPr>
          <w:tab/>
        </w:r>
        <w:r w:rsidR="00375DC2">
          <w:rPr>
            <w:noProof/>
            <w:webHidden/>
          </w:rPr>
          <w:fldChar w:fldCharType="begin"/>
        </w:r>
        <w:r w:rsidR="00DB48B2">
          <w:rPr>
            <w:noProof/>
            <w:webHidden/>
          </w:rPr>
          <w:instrText xml:space="preserve"> PAGEREF _Toc431980010 \h </w:instrText>
        </w:r>
        <w:r w:rsidR="00375DC2">
          <w:rPr>
            <w:noProof/>
            <w:webHidden/>
          </w:rPr>
        </w:r>
        <w:r w:rsidR="00375DC2">
          <w:rPr>
            <w:noProof/>
            <w:webHidden/>
          </w:rPr>
          <w:fldChar w:fldCharType="separate"/>
        </w:r>
        <w:r w:rsidR="00593D6A">
          <w:rPr>
            <w:noProof/>
            <w:webHidden/>
          </w:rPr>
          <w:t>3</w:t>
        </w:r>
        <w:r w:rsidR="00184DE9">
          <w:rPr>
            <w:noProof/>
            <w:webHidden/>
          </w:rPr>
          <w:t>6</w:t>
        </w:r>
        <w:r w:rsidR="00375DC2">
          <w:rPr>
            <w:noProof/>
            <w:webHidden/>
          </w:rPr>
          <w:fldChar w:fldCharType="end"/>
        </w:r>
      </w:hyperlink>
    </w:p>
    <w:p w:rsidR="00CD4CA3" w:rsidRPr="00CD4CA3" w:rsidRDefault="00CD4CA3" w:rsidP="00184DE9">
      <w:pPr>
        <w:ind w:firstLine="0"/>
        <w:rPr>
          <w:rFonts w:eastAsiaTheme="minorEastAsia"/>
        </w:rPr>
      </w:pPr>
      <w:r>
        <w:rPr>
          <w:rFonts w:eastAsiaTheme="minorEastAsia"/>
        </w:rPr>
        <w:t>2.       Les indicateurs globaux de la surliquidité bancaire</w:t>
      </w:r>
      <w:r w:rsidR="00AE20B4">
        <w:rPr>
          <w:rFonts w:eastAsiaTheme="minorEastAsia"/>
        </w:rPr>
        <w:t>…………………………………3</w:t>
      </w:r>
      <w:r w:rsidR="00184DE9">
        <w:rPr>
          <w:rFonts w:eastAsiaTheme="minorEastAsia"/>
        </w:rPr>
        <w:t>6</w:t>
      </w:r>
    </w:p>
    <w:p w:rsidR="00DB48B2" w:rsidRDefault="00826CCF" w:rsidP="00184DE9">
      <w:pPr>
        <w:pStyle w:val="TM2"/>
        <w:rPr>
          <w:rFonts w:asciiTheme="minorHAnsi" w:eastAsiaTheme="minorEastAsia" w:hAnsiTheme="minorHAnsi" w:cstheme="minorBidi"/>
          <w:noProof/>
          <w:sz w:val="22"/>
        </w:rPr>
      </w:pPr>
      <w:hyperlink w:anchor="_Toc431980011" w:history="1">
        <w:r w:rsidR="00CD4CA3">
          <w:rPr>
            <w:rStyle w:val="Lienhypertexte"/>
            <w:noProof/>
          </w:rPr>
          <w:t>2.1</w:t>
        </w:r>
        <w:r w:rsidR="00DB48B2" w:rsidRPr="00E71823">
          <w:rPr>
            <w:rStyle w:val="Lienhypertexte"/>
            <w:noProof/>
          </w:rPr>
          <w:t xml:space="preserve"> Ratio épargne/ investissement</w:t>
        </w:r>
        <w:r w:rsidR="00DB48B2">
          <w:rPr>
            <w:noProof/>
            <w:webHidden/>
          </w:rPr>
          <w:tab/>
        </w:r>
        <w:r w:rsidR="00375DC2">
          <w:rPr>
            <w:noProof/>
            <w:webHidden/>
          </w:rPr>
          <w:fldChar w:fldCharType="begin"/>
        </w:r>
        <w:r w:rsidR="00DB48B2">
          <w:rPr>
            <w:noProof/>
            <w:webHidden/>
          </w:rPr>
          <w:instrText xml:space="preserve"> PAGEREF _Toc431980011 \h </w:instrText>
        </w:r>
        <w:r w:rsidR="00375DC2">
          <w:rPr>
            <w:noProof/>
            <w:webHidden/>
          </w:rPr>
        </w:r>
        <w:r w:rsidR="00375DC2">
          <w:rPr>
            <w:noProof/>
            <w:webHidden/>
          </w:rPr>
          <w:fldChar w:fldCharType="separate"/>
        </w:r>
        <w:r w:rsidR="00593D6A">
          <w:rPr>
            <w:noProof/>
            <w:webHidden/>
          </w:rPr>
          <w:t>3</w:t>
        </w:r>
        <w:r w:rsidR="00184DE9">
          <w:rPr>
            <w:noProof/>
            <w:webHidden/>
          </w:rPr>
          <w:t>6</w:t>
        </w:r>
        <w:r w:rsidR="00375DC2">
          <w:rPr>
            <w:noProof/>
            <w:webHidden/>
          </w:rPr>
          <w:fldChar w:fldCharType="end"/>
        </w:r>
      </w:hyperlink>
    </w:p>
    <w:p w:rsidR="00DB48B2" w:rsidRDefault="00826CCF" w:rsidP="00184DE9">
      <w:pPr>
        <w:pStyle w:val="TM2"/>
        <w:rPr>
          <w:rFonts w:asciiTheme="minorHAnsi" w:eastAsiaTheme="minorEastAsia" w:hAnsiTheme="minorHAnsi" w:cstheme="minorBidi"/>
          <w:noProof/>
          <w:sz w:val="22"/>
        </w:rPr>
      </w:pPr>
      <w:hyperlink w:anchor="_Toc431980012" w:history="1">
        <w:r w:rsidR="00CD4CA3">
          <w:rPr>
            <w:rStyle w:val="Lienhypertexte"/>
            <w:noProof/>
          </w:rPr>
          <w:t xml:space="preserve">2.2 </w:t>
        </w:r>
        <w:r w:rsidR="00DB48B2" w:rsidRPr="00E71823">
          <w:rPr>
            <w:rStyle w:val="Lienhypertexte"/>
            <w:noProof/>
          </w:rPr>
          <w:t>Ratio Actifs du secteur bancaire (dépôts bancaires/PIB)</w:t>
        </w:r>
        <w:r w:rsidR="00DB48B2">
          <w:rPr>
            <w:noProof/>
            <w:webHidden/>
          </w:rPr>
          <w:tab/>
        </w:r>
        <w:r w:rsidR="00375DC2">
          <w:rPr>
            <w:noProof/>
            <w:webHidden/>
          </w:rPr>
          <w:fldChar w:fldCharType="begin"/>
        </w:r>
        <w:r w:rsidR="00DB48B2">
          <w:rPr>
            <w:noProof/>
            <w:webHidden/>
          </w:rPr>
          <w:instrText xml:space="preserve"> PAGEREF _Toc431980012 \h </w:instrText>
        </w:r>
        <w:r w:rsidR="00375DC2">
          <w:rPr>
            <w:noProof/>
            <w:webHidden/>
          </w:rPr>
        </w:r>
        <w:r w:rsidR="00375DC2">
          <w:rPr>
            <w:noProof/>
            <w:webHidden/>
          </w:rPr>
          <w:fldChar w:fldCharType="separate"/>
        </w:r>
        <w:r w:rsidR="00593D6A">
          <w:rPr>
            <w:noProof/>
            <w:webHidden/>
          </w:rPr>
          <w:t>3</w:t>
        </w:r>
        <w:r w:rsidR="00184DE9">
          <w:rPr>
            <w:noProof/>
            <w:webHidden/>
          </w:rPr>
          <w:t>8</w:t>
        </w:r>
        <w:r w:rsidR="00375DC2">
          <w:rPr>
            <w:noProof/>
            <w:webHidden/>
          </w:rPr>
          <w:fldChar w:fldCharType="end"/>
        </w:r>
      </w:hyperlink>
    </w:p>
    <w:p w:rsidR="00DB48B2" w:rsidRDefault="00826CCF" w:rsidP="00184DE9">
      <w:pPr>
        <w:pStyle w:val="TM1"/>
        <w:rPr>
          <w:rFonts w:asciiTheme="minorHAnsi" w:eastAsiaTheme="minorEastAsia" w:hAnsiTheme="minorHAnsi" w:cstheme="minorBidi"/>
          <w:noProof/>
          <w:sz w:val="22"/>
        </w:rPr>
      </w:pPr>
      <w:hyperlink w:anchor="_Toc431980013" w:history="1">
        <w:r w:rsidR="00CD4CA3">
          <w:rPr>
            <w:rStyle w:val="Lienhypertexte"/>
            <w:noProof/>
          </w:rPr>
          <w:t>3</w:t>
        </w:r>
        <w:r w:rsidR="00977420">
          <w:rPr>
            <w:rStyle w:val="Lienhypertexte"/>
            <w:noProof/>
          </w:rPr>
          <w:t>.</w:t>
        </w:r>
        <w:r w:rsidR="00DB48B2">
          <w:rPr>
            <w:rFonts w:asciiTheme="minorHAnsi" w:eastAsiaTheme="minorEastAsia" w:hAnsiTheme="minorHAnsi" w:cstheme="minorBidi"/>
            <w:noProof/>
            <w:sz w:val="22"/>
          </w:rPr>
          <w:tab/>
        </w:r>
        <w:r w:rsidR="00DB48B2" w:rsidRPr="00E71823">
          <w:rPr>
            <w:rStyle w:val="Lienhypertexte"/>
            <w:noProof/>
          </w:rPr>
          <w:t>Les indicateur de stabilité du secteur bancaire algérien (ratio des dépôts collectés/crédits accordés)</w:t>
        </w:r>
        <w:r w:rsidR="00DB48B2">
          <w:rPr>
            <w:noProof/>
            <w:webHidden/>
          </w:rPr>
          <w:tab/>
        </w:r>
        <w:r w:rsidR="00184DE9">
          <w:rPr>
            <w:noProof/>
            <w:webHidden/>
          </w:rPr>
          <w:t>40</w:t>
        </w:r>
      </w:hyperlink>
    </w:p>
    <w:p w:rsidR="00DB48B2" w:rsidRDefault="00826CCF" w:rsidP="00184DE9">
      <w:pPr>
        <w:pStyle w:val="TM2"/>
        <w:rPr>
          <w:rFonts w:asciiTheme="minorHAnsi" w:eastAsiaTheme="minorEastAsia" w:hAnsiTheme="minorHAnsi" w:cstheme="minorBidi"/>
          <w:noProof/>
          <w:sz w:val="22"/>
        </w:rPr>
      </w:pPr>
      <w:hyperlink w:anchor="_Toc431980014" w:history="1">
        <w:r w:rsidR="00CD4CA3">
          <w:rPr>
            <w:rStyle w:val="Lienhypertexte"/>
            <w:noProof/>
          </w:rPr>
          <w:t>3</w:t>
        </w:r>
        <w:r w:rsidR="00977420">
          <w:rPr>
            <w:rStyle w:val="Lienhypertexte"/>
            <w:noProof/>
          </w:rPr>
          <w:t>.1</w:t>
        </w:r>
        <w:r w:rsidR="00DB48B2" w:rsidRPr="00E71823">
          <w:rPr>
            <w:rStyle w:val="Lienhypertexte"/>
            <w:noProof/>
          </w:rPr>
          <w:t xml:space="preserve"> Les ressources collectées par les banques</w:t>
        </w:r>
        <w:r w:rsidR="00DB48B2">
          <w:rPr>
            <w:noProof/>
            <w:webHidden/>
          </w:rPr>
          <w:tab/>
        </w:r>
        <w:r w:rsidR="00184DE9">
          <w:rPr>
            <w:noProof/>
            <w:webHidden/>
          </w:rPr>
          <w:t>40</w:t>
        </w:r>
      </w:hyperlink>
    </w:p>
    <w:p w:rsidR="00DB48B2" w:rsidRDefault="00826CCF" w:rsidP="00184DE9">
      <w:pPr>
        <w:pStyle w:val="TM2"/>
        <w:rPr>
          <w:rFonts w:asciiTheme="minorHAnsi" w:eastAsiaTheme="minorEastAsia" w:hAnsiTheme="minorHAnsi" w:cstheme="minorBidi"/>
          <w:noProof/>
          <w:sz w:val="22"/>
        </w:rPr>
      </w:pPr>
      <w:hyperlink w:anchor="_Toc431980015" w:history="1">
        <w:r w:rsidR="00CD4CA3">
          <w:rPr>
            <w:rStyle w:val="Lienhypertexte"/>
            <w:noProof/>
          </w:rPr>
          <w:t>3</w:t>
        </w:r>
        <w:r w:rsidR="00977420">
          <w:rPr>
            <w:rStyle w:val="Lienhypertexte"/>
            <w:noProof/>
          </w:rPr>
          <w:t>.2</w:t>
        </w:r>
        <w:r w:rsidR="00DB48B2" w:rsidRPr="00E71823">
          <w:rPr>
            <w:rStyle w:val="Lienhypertexte"/>
            <w:noProof/>
          </w:rPr>
          <w:t xml:space="preserve"> Les crédits accordés par les banques</w:t>
        </w:r>
        <w:r w:rsidR="00DB48B2">
          <w:rPr>
            <w:noProof/>
            <w:webHidden/>
          </w:rPr>
          <w:tab/>
        </w:r>
        <w:r w:rsidR="00184DE9">
          <w:rPr>
            <w:noProof/>
            <w:webHidden/>
          </w:rPr>
          <w:t>42</w:t>
        </w:r>
      </w:hyperlink>
    </w:p>
    <w:p w:rsidR="00DB48B2" w:rsidRDefault="00826CCF" w:rsidP="00184DE9">
      <w:pPr>
        <w:pStyle w:val="TM1"/>
        <w:rPr>
          <w:rFonts w:asciiTheme="minorHAnsi" w:eastAsiaTheme="minorEastAsia" w:hAnsiTheme="minorHAnsi" w:cstheme="minorBidi"/>
          <w:noProof/>
          <w:sz w:val="22"/>
        </w:rPr>
      </w:pPr>
      <w:hyperlink w:anchor="_Toc431980016" w:history="1">
        <w:r w:rsidR="00CD4CA3">
          <w:rPr>
            <w:rStyle w:val="Lienhypertexte"/>
            <w:noProof/>
          </w:rPr>
          <w:t>4</w:t>
        </w:r>
        <w:r w:rsidR="00977420">
          <w:rPr>
            <w:rStyle w:val="Lienhypertexte"/>
            <w:noProof/>
          </w:rPr>
          <w:t>.</w:t>
        </w:r>
        <w:r w:rsidR="00DB48B2">
          <w:rPr>
            <w:rFonts w:asciiTheme="minorHAnsi" w:eastAsiaTheme="minorEastAsia" w:hAnsiTheme="minorHAnsi" w:cstheme="minorBidi"/>
            <w:noProof/>
            <w:sz w:val="22"/>
          </w:rPr>
          <w:tab/>
        </w:r>
        <w:r w:rsidR="00DB48B2" w:rsidRPr="00E71823">
          <w:rPr>
            <w:rStyle w:val="Lienhypertexte"/>
            <w:noProof/>
          </w:rPr>
          <w:t>Les indicateurs de solidité du secteur bancaire</w:t>
        </w:r>
        <w:r w:rsidR="00DB48B2">
          <w:rPr>
            <w:noProof/>
            <w:webHidden/>
          </w:rPr>
          <w:tab/>
        </w:r>
        <w:r w:rsidR="00184DE9">
          <w:rPr>
            <w:noProof/>
            <w:webHidden/>
          </w:rPr>
          <w:t>45</w:t>
        </w:r>
      </w:hyperlink>
    </w:p>
    <w:p w:rsidR="00DB48B2" w:rsidRDefault="00826CCF" w:rsidP="00184DE9">
      <w:pPr>
        <w:pStyle w:val="TM2"/>
        <w:rPr>
          <w:rFonts w:asciiTheme="minorHAnsi" w:eastAsiaTheme="minorEastAsia" w:hAnsiTheme="minorHAnsi" w:cstheme="minorBidi"/>
          <w:noProof/>
          <w:sz w:val="22"/>
        </w:rPr>
      </w:pPr>
      <w:hyperlink w:anchor="_Toc431980017" w:history="1">
        <w:r w:rsidR="00CD4CA3">
          <w:rPr>
            <w:rStyle w:val="Lienhypertexte"/>
            <w:noProof/>
          </w:rPr>
          <w:t>4</w:t>
        </w:r>
        <w:r w:rsidR="00977420">
          <w:rPr>
            <w:rStyle w:val="Lienhypertexte"/>
            <w:noProof/>
          </w:rPr>
          <w:t>.1</w:t>
        </w:r>
        <w:r w:rsidR="00DB48B2" w:rsidRPr="00E71823">
          <w:rPr>
            <w:rStyle w:val="Lienhypertexte"/>
            <w:noProof/>
          </w:rPr>
          <w:t xml:space="preserve"> Le ratio de solvabilité</w:t>
        </w:r>
        <w:r w:rsidR="00DB48B2">
          <w:rPr>
            <w:noProof/>
            <w:webHidden/>
          </w:rPr>
          <w:tab/>
        </w:r>
        <w:r w:rsidR="00184DE9">
          <w:rPr>
            <w:noProof/>
            <w:webHidden/>
          </w:rPr>
          <w:t>45</w:t>
        </w:r>
      </w:hyperlink>
    </w:p>
    <w:p w:rsidR="00DB48B2" w:rsidRDefault="00826CCF" w:rsidP="00184DE9">
      <w:pPr>
        <w:pStyle w:val="TM2"/>
        <w:rPr>
          <w:rFonts w:asciiTheme="minorHAnsi" w:eastAsiaTheme="minorEastAsia" w:hAnsiTheme="minorHAnsi" w:cstheme="minorBidi"/>
          <w:noProof/>
          <w:sz w:val="22"/>
        </w:rPr>
      </w:pPr>
      <w:hyperlink w:anchor="_Toc431980018" w:history="1">
        <w:r w:rsidR="00CD4CA3">
          <w:rPr>
            <w:rStyle w:val="Lienhypertexte"/>
            <w:noProof/>
          </w:rPr>
          <w:t>4</w:t>
        </w:r>
        <w:r w:rsidR="00977420">
          <w:rPr>
            <w:rStyle w:val="Lienhypertexte"/>
            <w:noProof/>
          </w:rPr>
          <w:t>.2</w:t>
        </w:r>
        <w:r w:rsidR="00DB48B2" w:rsidRPr="00E71823">
          <w:rPr>
            <w:rStyle w:val="Lienhypertexte"/>
            <w:noProof/>
          </w:rPr>
          <w:t xml:space="preserve"> Présentation d’une comparaison entre une banque  nationale algérienne (BDL) et une banque étrangère française (Société générale), résidente en Algérie :</w:t>
        </w:r>
        <w:r w:rsidR="00DB48B2">
          <w:rPr>
            <w:noProof/>
            <w:webHidden/>
          </w:rPr>
          <w:tab/>
        </w:r>
        <w:r w:rsidR="00375DC2">
          <w:rPr>
            <w:noProof/>
            <w:webHidden/>
          </w:rPr>
          <w:fldChar w:fldCharType="begin"/>
        </w:r>
        <w:r w:rsidR="00DB48B2">
          <w:rPr>
            <w:noProof/>
            <w:webHidden/>
          </w:rPr>
          <w:instrText xml:space="preserve"> PAGEREF _Toc431980018 \h </w:instrText>
        </w:r>
        <w:r w:rsidR="00375DC2">
          <w:rPr>
            <w:noProof/>
            <w:webHidden/>
          </w:rPr>
        </w:r>
        <w:r w:rsidR="00375DC2">
          <w:rPr>
            <w:noProof/>
            <w:webHidden/>
          </w:rPr>
          <w:fldChar w:fldCharType="separate"/>
        </w:r>
        <w:r w:rsidR="00593D6A">
          <w:rPr>
            <w:noProof/>
            <w:webHidden/>
          </w:rPr>
          <w:t>4</w:t>
        </w:r>
        <w:r w:rsidR="00184DE9">
          <w:rPr>
            <w:noProof/>
            <w:webHidden/>
          </w:rPr>
          <w:t>7</w:t>
        </w:r>
        <w:r w:rsidR="00375DC2">
          <w:rPr>
            <w:noProof/>
            <w:webHidden/>
          </w:rPr>
          <w:fldChar w:fldCharType="end"/>
        </w:r>
      </w:hyperlink>
    </w:p>
    <w:p w:rsidR="00DB48B2" w:rsidRDefault="00826CCF" w:rsidP="00184DE9">
      <w:pPr>
        <w:pStyle w:val="TM3"/>
      </w:pPr>
      <w:hyperlink w:anchor="_Toc431980020" w:history="1">
        <w:r w:rsidR="00DB48B2">
          <w:rPr>
            <w:rFonts w:asciiTheme="minorHAnsi" w:eastAsiaTheme="minorEastAsia" w:hAnsiTheme="minorHAnsi" w:cstheme="minorBidi"/>
            <w:noProof/>
            <w:sz w:val="22"/>
          </w:rPr>
          <w:tab/>
        </w:r>
        <w:r w:rsidR="00CD4CA3">
          <w:rPr>
            <w:rStyle w:val="Lienhypertexte"/>
            <w:noProof/>
          </w:rPr>
          <w:t>4</w:t>
        </w:r>
        <w:r w:rsidR="00977420">
          <w:rPr>
            <w:rStyle w:val="Lienhypertexte"/>
            <w:noProof/>
          </w:rPr>
          <w:t>.2.1</w:t>
        </w:r>
        <w:r w:rsidR="00DB48B2" w:rsidRPr="00E71823">
          <w:rPr>
            <w:rStyle w:val="Lienhypertexte"/>
            <w:noProof/>
          </w:rPr>
          <w:t xml:space="preserve"> Calcul du ratio crédits accordés/dépôts collectés</w:t>
        </w:r>
        <w:r w:rsidR="00DB48B2">
          <w:rPr>
            <w:noProof/>
            <w:webHidden/>
          </w:rPr>
          <w:tab/>
        </w:r>
        <w:r w:rsidR="00375DC2">
          <w:rPr>
            <w:noProof/>
            <w:webHidden/>
          </w:rPr>
          <w:fldChar w:fldCharType="begin"/>
        </w:r>
        <w:r w:rsidR="00DB48B2">
          <w:rPr>
            <w:noProof/>
            <w:webHidden/>
          </w:rPr>
          <w:instrText xml:space="preserve"> PAGEREF _Toc431980020 \h </w:instrText>
        </w:r>
        <w:r w:rsidR="00375DC2">
          <w:rPr>
            <w:noProof/>
            <w:webHidden/>
          </w:rPr>
        </w:r>
        <w:r w:rsidR="00375DC2">
          <w:rPr>
            <w:noProof/>
            <w:webHidden/>
          </w:rPr>
          <w:fldChar w:fldCharType="separate"/>
        </w:r>
        <w:r w:rsidR="00593D6A">
          <w:rPr>
            <w:noProof/>
            <w:webHidden/>
          </w:rPr>
          <w:t>4</w:t>
        </w:r>
        <w:r w:rsidR="00184DE9">
          <w:rPr>
            <w:noProof/>
            <w:webHidden/>
          </w:rPr>
          <w:t>7</w:t>
        </w:r>
        <w:r w:rsidR="00375DC2">
          <w:rPr>
            <w:noProof/>
            <w:webHidden/>
          </w:rPr>
          <w:fldChar w:fldCharType="end"/>
        </w:r>
      </w:hyperlink>
    </w:p>
    <w:p w:rsidR="00D41EFB" w:rsidRDefault="00CD4CA3" w:rsidP="00184DE9">
      <w:pPr>
        <w:ind w:left="1007"/>
        <w:rPr>
          <w:rFonts w:eastAsiaTheme="minorEastAsia"/>
        </w:rPr>
      </w:pPr>
      <w:r>
        <w:rPr>
          <w:rFonts w:eastAsiaTheme="minorEastAsia"/>
        </w:rPr>
        <w:t>4</w:t>
      </w:r>
      <w:r w:rsidR="00977420">
        <w:rPr>
          <w:rFonts w:eastAsiaTheme="minorEastAsia"/>
        </w:rPr>
        <w:t>.2.1.1</w:t>
      </w:r>
      <w:r w:rsidR="00D41EFB">
        <w:rPr>
          <w:rFonts w:eastAsiaTheme="minorEastAsia"/>
        </w:rPr>
        <w:t xml:space="preserve"> Pour la BDL………………………………………………………4</w:t>
      </w:r>
      <w:r w:rsidR="00184DE9">
        <w:rPr>
          <w:rFonts w:eastAsiaTheme="minorEastAsia"/>
        </w:rPr>
        <w:t>8</w:t>
      </w:r>
    </w:p>
    <w:p w:rsidR="00D41EFB" w:rsidRPr="00D41EFB" w:rsidRDefault="00CD4CA3" w:rsidP="00184DE9">
      <w:pPr>
        <w:ind w:left="1007"/>
        <w:rPr>
          <w:rFonts w:eastAsiaTheme="minorEastAsia"/>
        </w:rPr>
      </w:pPr>
      <w:r>
        <w:rPr>
          <w:rFonts w:eastAsiaTheme="minorEastAsia"/>
        </w:rPr>
        <w:t>4</w:t>
      </w:r>
      <w:r w:rsidR="00977420">
        <w:rPr>
          <w:rFonts w:eastAsiaTheme="minorEastAsia"/>
        </w:rPr>
        <w:t>.2.1.2</w:t>
      </w:r>
      <w:r w:rsidR="00D41EFB">
        <w:rPr>
          <w:rFonts w:eastAsiaTheme="minorEastAsia"/>
        </w:rPr>
        <w:t xml:space="preserve"> Pour la Société Générale…………………………………………4</w:t>
      </w:r>
      <w:r w:rsidR="00184DE9">
        <w:rPr>
          <w:rFonts w:eastAsiaTheme="minorEastAsia"/>
        </w:rPr>
        <w:t>9</w:t>
      </w:r>
    </w:p>
    <w:p w:rsidR="00DB48B2" w:rsidRDefault="00826CCF" w:rsidP="00184DE9">
      <w:pPr>
        <w:pStyle w:val="TM3"/>
        <w:rPr>
          <w:rFonts w:asciiTheme="minorHAnsi" w:eastAsiaTheme="minorEastAsia" w:hAnsiTheme="minorHAnsi" w:cstheme="minorBidi"/>
          <w:noProof/>
          <w:sz w:val="22"/>
        </w:rPr>
      </w:pPr>
      <w:hyperlink w:anchor="_Toc431980021" w:history="1">
        <w:r w:rsidR="00DB48B2">
          <w:rPr>
            <w:rFonts w:asciiTheme="minorHAnsi" w:eastAsiaTheme="minorEastAsia" w:hAnsiTheme="minorHAnsi" w:cstheme="minorBidi"/>
            <w:noProof/>
            <w:sz w:val="22"/>
          </w:rPr>
          <w:tab/>
        </w:r>
        <w:r w:rsidR="00CD4CA3">
          <w:rPr>
            <w:rStyle w:val="Lienhypertexte"/>
            <w:noProof/>
          </w:rPr>
          <w:t>4</w:t>
        </w:r>
        <w:r w:rsidR="00977420">
          <w:rPr>
            <w:rStyle w:val="Lienhypertexte"/>
            <w:noProof/>
          </w:rPr>
          <w:t>.2.2</w:t>
        </w:r>
        <w:r w:rsidR="00DB48B2" w:rsidRPr="00E71823">
          <w:rPr>
            <w:rStyle w:val="Lienhypertexte"/>
            <w:noProof/>
          </w:rPr>
          <w:t xml:space="preserve"> Présentation des ratios prudentiels (ratios réglementaires) :</w:t>
        </w:r>
        <w:r w:rsidR="00DB48B2">
          <w:rPr>
            <w:noProof/>
            <w:webHidden/>
          </w:rPr>
          <w:tab/>
        </w:r>
        <w:r w:rsidR="00375DC2">
          <w:rPr>
            <w:noProof/>
            <w:webHidden/>
          </w:rPr>
          <w:fldChar w:fldCharType="begin"/>
        </w:r>
        <w:r w:rsidR="00DB48B2">
          <w:rPr>
            <w:noProof/>
            <w:webHidden/>
          </w:rPr>
          <w:instrText xml:space="preserve"> PAGEREF _Toc431980021 \h </w:instrText>
        </w:r>
        <w:r w:rsidR="00375DC2">
          <w:rPr>
            <w:noProof/>
            <w:webHidden/>
          </w:rPr>
        </w:r>
        <w:r w:rsidR="00375DC2">
          <w:rPr>
            <w:noProof/>
            <w:webHidden/>
          </w:rPr>
          <w:fldChar w:fldCharType="separate"/>
        </w:r>
        <w:r w:rsidR="00593D6A">
          <w:rPr>
            <w:noProof/>
            <w:webHidden/>
          </w:rPr>
          <w:t>4</w:t>
        </w:r>
        <w:r w:rsidR="00184DE9">
          <w:rPr>
            <w:noProof/>
            <w:webHidden/>
          </w:rPr>
          <w:t>9</w:t>
        </w:r>
        <w:r w:rsidR="00375DC2">
          <w:rPr>
            <w:noProof/>
            <w:webHidden/>
          </w:rPr>
          <w:fldChar w:fldCharType="end"/>
        </w:r>
      </w:hyperlink>
    </w:p>
    <w:p w:rsidR="00DB48B2" w:rsidRDefault="00826CCF" w:rsidP="00184DE9">
      <w:pPr>
        <w:pStyle w:val="TM1"/>
        <w:rPr>
          <w:rFonts w:asciiTheme="minorHAnsi" w:eastAsiaTheme="minorEastAsia" w:hAnsiTheme="minorHAnsi" w:cstheme="minorBidi"/>
          <w:noProof/>
          <w:sz w:val="22"/>
        </w:rPr>
      </w:pPr>
      <w:hyperlink w:anchor="_Toc431980022" w:history="1">
        <w:r w:rsidR="00DB48B2" w:rsidRPr="00E71823">
          <w:rPr>
            <w:rStyle w:val="Lienhypertexte"/>
            <w:noProof/>
          </w:rPr>
          <w:t>Section 02</w:t>
        </w:r>
        <w:r w:rsidR="00DB48B2" w:rsidRPr="00E71823">
          <w:rPr>
            <w:rStyle w:val="Lienhypertexte"/>
            <w:noProof/>
          </w:rPr>
          <w:t> : Caractéristiques et conséquences de la surliquidité bancaire en Algérie.</w:t>
        </w:r>
        <w:r w:rsidR="00DB48B2">
          <w:rPr>
            <w:noProof/>
            <w:webHidden/>
          </w:rPr>
          <w:tab/>
        </w:r>
        <w:r w:rsidR="00184DE9">
          <w:rPr>
            <w:noProof/>
            <w:webHidden/>
          </w:rPr>
          <w:t>51</w:t>
        </w:r>
      </w:hyperlink>
    </w:p>
    <w:p w:rsidR="00DB48B2" w:rsidRDefault="00826CCF" w:rsidP="00184DE9">
      <w:pPr>
        <w:pStyle w:val="TM1"/>
        <w:rPr>
          <w:rFonts w:asciiTheme="minorHAnsi" w:eastAsiaTheme="minorEastAsia" w:hAnsiTheme="minorHAnsi" w:cstheme="minorBidi"/>
          <w:noProof/>
          <w:sz w:val="22"/>
        </w:rPr>
      </w:pPr>
      <w:hyperlink w:anchor="_Toc431980024" w:history="1">
        <w:r w:rsidR="00CD4CA3">
          <w:rPr>
            <w:rStyle w:val="Lienhypertexte"/>
            <w:noProof/>
          </w:rPr>
          <w:t>1</w:t>
        </w:r>
        <w:r w:rsidR="00977420">
          <w:rPr>
            <w:rStyle w:val="Lienhypertexte"/>
            <w:noProof/>
          </w:rPr>
          <w:t>.</w:t>
        </w:r>
        <w:r w:rsidR="00DB48B2">
          <w:rPr>
            <w:rFonts w:asciiTheme="minorHAnsi" w:eastAsiaTheme="minorEastAsia" w:hAnsiTheme="minorHAnsi" w:cstheme="minorBidi"/>
            <w:noProof/>
            <w:sz w:val="22"/>
          </w:rPr>
          <w:tab/>
        </w:r>
        <w:r w:rsidR="00DB48B2" w:rsidRPr="00E71823">
          <w:rPr>
            <w:rStyle w:val="Lienhypertexte"/>
            <w:noProof/>
          </w:rPr>
          <w:t>Les caractéristiques de la surliquidité bancaire en Algérie</w:t>
        </w:r>
        <w:r w:rsidR="00DB48B2">
          <w:rPr>
            <w:noProof/>
            <w:webHidden/>
          </w:rPr>
          <w:tab/>
        </w:r>
        <w:r w:rsidR="00184DE9">
          <w:rPr>
            <w:noProof/>
            <w:webHidden/>
          </w:rPr>
          <w:t>52</w:t>
        </w:r>
      </w:hyperlink>
    </w:p>
    <w:p w:rsidR="00DB48B2" w:rsidRDefault="00826CCF" w:rsidP="00184DE9">
      <w:pPr>
        <w:pStyle w:val="TM1"/>
        <w:rPr>
          <w:rFonts w:asciiTheme="minorHAnsi" w:eastAsiaTheme="minorEastAsia" w:hAnsiTheme="minorHAnsi" w:cstheme="minorBidi"/>
          <w:noProof/>
          <w:sz w:val="22"/>
        </w:rPr>
      </w:pPr>
      <w:hyperlink w:anchor="_Toc431980025" w:history="1">
        <w:r w:rsidR="00CD4CA3">
          <w:rPr>
            <w:rStyle w:val="Lienhypertexte"/>
            <w:noProof/>
          </w:rPr>
          <w:t>2</w:t>
        </w:r>
        <w:r w:rsidR="00977420">
          <w:rPr>
            <w:rStyle w:val="Lienhypertexte"/>
            <w:noProof/>
          </w:rPr>
          <w:t>.</w:t>
        </w:r>
        <w:r w:rsidR="00DB48B2">
          <w:rPr>
            <w:rFonts w:asciiTheme="minorHAnsi" w:eastAsiaTheme="minorEastAsia" w:hAnsiTheme="minorHAnsi" w:cstheme="minorBidi"/>
            <w:noProof/>
            <w:sz w:val="22"/>
          </w:rPr>
          <w:tab/>
        </w:r>
        <w:r w:rsidR="00DB48B2" w:rsidRPr="00E71823">
          <w:rPr>
            <w:rStyle w:val="Lienhypertexte"/>
            <w:noProof/>
          </w:rPr>
          <w:t>Les conséquences d’une surliquidité bancaire en Algérie</w:t>
        </w:r>
        <w:r w:rsidR="00DB48B2">
          <w:rPr>
            <w:noProof/>
            <w:webHidden/>
          </w:rPr>
          <w:tab/>
        </w:r>
        <w:r w:rsidR="00184DE9">
          <w:rPr>
            <w:noProof/>
            <w:webHidden/>
          </w:rPr>
          <w:t>53</w:t>
        </w:r>
      </w:hyperlink>
    </w:p>
    <w:p w:rsidR="00DB48B2" w:rsidRDefault="00826CCF" w:rsidP="00184DE9">
      <w:pPr>
        <w:pStyle w:val="TM2"/>
        <w:rPr>
          <w:rFonts w:asciiTheme="minorHAnsi" w:eastAsiaTheme="minorEastAsia" w:hAnsiTheme="minorHAnsi" w:cstheme="minorBidi"/>
          <w:noProof/>
          <w:sz w:val="22"/>
        </w:rPr>
      </w:pPr>
      <w:hyperlink w:anchor="_Toc431980026" w:history="1">
        <w:r w:rsidR="00CD4CA3">
          <w:rPr>
            <w:rStyle w:val="Lienhypertexte"/>
            <w:noProof/>
          </w:rPr>
          <w:t>2</w:t>
        </w:r>
        <w:r w:rsidR="00977420">
          <w:rPr>
            <w:rStyle w:val="Lienhypertexte"/>
            <w:noProof/>
          </w:rPr>
          <w:t>.1</w:t>
        </w:r>
        <w:r w:rsidR="00DB48B2" w:rsidRPr="00E71823">
          <w:rPr>
            <w:rStyle w:val="Lienhypertexte"/>
            <w:noProof/>
          </w:rPr>
          <w:t xml:space="preserve"> Sur le plan bancaire</w:t>
        </w:r>
        <w:r w:rsidR="00DB48B2">
          <w:rPr>
            <w:noProof/>
            <w:webHidden/>
          </w:rPr>
          <w:tab/>
        </w:r>
        <w:r w:rsidR="00184DE9">
          <w:rPr>
            <w:noProof/>
            <w:webHidden/>
          </w:rPr>
          <w:t>53</w:t>
        </w:r>
      </w:hyperlink>
    </w:p>
    <w:p w:rsidR="00DB48B2" w:rsidRDefault="00826CCF" w:rsidP="00184DE9">
      <w:pPr>
        <w:pStyle w:val="TM3"/>
        <w:rPr>
          <w:rFonts w:asciiTheme="minorHAnsi" w:eastAsiaTheme="minorEastAsia" w:hAnsiTheme="minorHAnsi" w:cstheme="minorBidi"/>
          <w:noProof/>
          <w:sz w:val="22"/>
        </w:rPr>
      </w:pPr>
      <w:hyperlink w:anchor="_Toc431980027" w:history="1">
        <w:r w:rsidR="00DB48B2">
          <w:rPr>
            <w:rFonts w:asciiTheme="minorHAnsi" w:eastAsiaTheme="minorEastAsia" w:hAnsiTheme="minorHAnsi" w:cstheme="minorBidi"/>
            <w:noProof/>
            <w:sz w:val="22"/>
          </w:rPr>
          <w:tab/>
        </w:r>
        <w:r w:rsidR="00CD4CA3">
          <w:rPr>
            <w:rStyle w:val="Lienhypertexte"/>
            <w:noProof/>
          </w:rPr>
          <w:t>2</w:t>
        </w:r>
        <w:r w:rsidR="00977420">
          <w:rPr>
            <w:rStyle w:val="Lienhypertexte"/>
            <w:noProof/>
          </w:rPr>
          <w:t xml:space="preserve">.1.1 </w:t>
        </w:r>
        <w:r w:rsidR="00DB48B2" w:rsidRPr="00E71823">
          <w:rPr>
            <w:rStyle w:val="Lienhypertexte"/>
            <w:noProof/>
          </w:rPr>
          <w:t>Coûts des ressources non mobilisées</w:t>
        </w:r>
        <w:r w:rsidR="00DB48B2">
          <w:rPr>
            <w:noProof/>
            <w:webHidden/>
          </w:rPr>
          <w:tab/>
        </w:r>
        <w:r w:rsidR="00184DE9">
          <w:rPr>
            <w:noProof/>
            <w:webHidden/>
          </w:rPr>
          <w:t>53</w:t>
        </w:r>
      </w:hyperlink>
    </w:p>
    <w:p w:rsidR="00DB48B2" w:rsidRDefault="00826CCF" w:rsidP="00184DE9">
      <w:pPr>
        <w:pStyle w:val="TM3"/>
        <w:rPr>
          <w:rFonts w:asciiTheme="minorHAnsi" w:eastAsiaTheme="minorEastAsia" w:hAnsiTheme="minorHAnsi" w:cstheme="minorBidi"/>
          <w:noProof/>
          <w:sz w:val="22"/>
        </w:rPr>
      </w:pPr>
      <w:hyperlink w:anchor="_Toc431980028" w:history="1">
        <w:r w:rsidR="00DB48B2">
          <w:rPr>
            <w:rFonts w:asciiTheme="minorHAnsi" w:eastAsiaTheme="minorEastAsia" w:hAnsiTheme="minorHAnsi" w:cstheme="minorBidi"/>
            <w:noProof/>
            <w:sz w:val="22"/>
          </w:rPr>
          <w:tab/>
        </w:r>
        <w:r w:rsidR="00CD4CA3">
          <w:rPr>
            <w:rStyle w:val="Lienhypertexte"/>
            <w:noProof/>
          </w:rPr>
          <w:t>2</w:t>
        </w:r>
        <w:r w:rsidR="00977420">
          <w:rPr>
            <w:rStyle w:val="Lienhypertexte"/>
            <w:noProof/>
          </w:rPr>
          <w:t xml:space="preserve">.1.2 </w:t>
        </w:r>
        <w:r w:rsidR="00DB48B2" w:rsidRPr="00E71823">
          <w:rPr>
            <w:rStyle w:val="Lienhypertexte"/>
            <w:noProof/>
          </w:rPr>
          <w:t xml:space="preserve"> Diminution des parts de marché</w:t>
        </w:r>
        <w:r w:rsidR="00DB48B2">
          <w:rPr>
            <w:noProof/>
            <w:webHidden/>
          </w:rPr>
          <w:tab/>
        </w:r>
        <w:r w:rsidR="00184DE9">
          <w:rPr>
            <w:noProof/>
            <w:webHidden/>
          </w:rPr>
          <w:t>53</w:t>
        </w:r>
      </w:hyperlink>
    </w:p>
    <w:p w:rsidR="00DB48B2" w:rsidRDefault="00826CCF" w:rsidP="00184DE9">
      <w:pPr>
        <w:pStyle w:val="TM3"/>
        <w:rPr>
          <w:rFonts w:asciiTheme="minorHAnsi" w:eastAsiaTheme="minorEastAsia" w:hAnsiTheme="minorHAnsi" w:cstheme="minorBidi"/>
          <w:noProof/>
          <w:sz w:val="22"/>
        </w:rPr>
      </w:pPr>
      <w:hyperlink w:anchor="_Toc431980029" w:history="1">
        <w:r w:rsidR="00DB48B2">
          <w:rPr>
            <w:rFonts w:asciiTheme="minorHAnsi" w:eastAsiaTheme="minorEastAsia" w:hAnsiTheme="minorHAnsi" w:cstheme="minorBidi"/>
            <w:noProof/>
            <w:sz w:val="22"/>
          </w:rPr>
          <w:tab/>
        </w:r>
        <w:r w:rsidR="00CD4CA3">
          <w:rPr>
            <w:rStyle w:val="Lienhypertexte"/>
            <w:noProof/>
          </w:rPr>
          <w:t>2</w:t>
        </w:r>
        <w:r w:rsidR="00977420">
          <w:rPr>
            <w:rStyle w:val="Lienhypertexte"/>
            <w:noProof/>
          </w:rPr>
          <w:t>.1.3</w:t>
        </w:r>
        <w:r w:rsidR="00DB48B2" w:rsidRPr="00E71823">
          <w:rPr>
            <w:rStyle w:val="Lienhypertexte"/>
            <w:noProof/>
          </w:rPr>
          <w:t xml:space="preserve"> Baisse de la rentabilité</w:t>
        </w:r>
        <w:r w:rsidR="00DB48B2">
          <w:rPr>
            <w:noProof/>
            <w:webHidden/>
          </w:rPr>
          <w:tab/>
        </w:r>
        <w:r w:rsidR="00184DE9">
          <w:rPr>
            <w:noProof/>
            <w:webHidden/>
          </w:rPr>
          <w:t>54</w:t>
        </w:r>
      </w:hyperlink>
    </w:p>
    <w:p w:rsidR="00DB48B2" w:rsidRDefault="00826CCF" w:rsidP="00184DE9">
      <w:pPr>
        <w:pStyle w:val="TM2"/>
        <w:rPr>
          <w:rFonts w:asciiTheme="minorHAnsi" w:eastAsiaTheme="minorEastAsia" w:hAnsiTheme="minorHAnsi" w:cstheme="minorBidi"/>
          <w:noProof/>
          <w:sz w:val="22"/>
        </w:rPr>
      </w:pPr>
      <w:hyperlink w:anchor="_Toc431980030" w:history="1">
        <w:r w:rsidR="00CD4CA3">
          <w:rPr>
            <w:rStyle w:val="Lienhypertexte"/>
            <w:noProof/>
          </w:rPr>
          <w:t>2</w:t>
        </w:r>
        <w:r w:rsidR="00977420">
          <w:rPr>
            <w:rStyle w:val="Lienhypertexte"/>
            <w:noProof/>
          </w:rPr>
          <w:t xml:space="preserve">.2 </w:t>
        </w:r>
        <w:r w:rsidR="00DB48B2" w:rsidRPr="00E71823">
          <w:rPr>
            <w:rStyle w:val="Lienhypertexte"/>
            <w:noProof/>
          </w:rPr>
          <w:t xml:space="preserve"> Sur le plan économique</w:t>
        </w:r>
        <w:r w:rsidR="00DB48B2">
          <w:rPr>
            <w:noProof/>
            <w:webHidden/>
          </w:rPr>
          <w:tab/>
        </w:r>
        <w:r w:rsidR="00184DE9">
          <w:rPr>
            <w:noProof/>
            <w:webHidden/>
          </w:rPr>
          <w:t>54</w:t>
        </w:r>
      </w:hyperlink>
    </w:p>
    <w:p w:rsidR="00DB48B2" w:rsidRDefault="00826CCF" w:rsidP="00184DE9">
      <w:pPr>
        <w:pStyle w:val="TM3"/>
        <w:rPr>
          <w:rFonts w:asciiTheme="minorHAnsi" w:eastAsiaTheme="minorEastAsia" w:hAnsiTheme="minorHAnsi" w:cstheme="minorBidi"/>
          <w:noProof/>
          <w:sz w:val="22"/>
        </w:rPr>
      </w:pPr>
      <w:hyperlink w:anchor="_Toc431980031" w:history="1">
        <w:r w:rsidR="00DB48B2">
          <w:rPr>
            <w:rFonts w:asciiTheme="minorHAnsi" w:eastAsiaTheme="minorEastAsia" w:hAnsiTheme="minorHAnsi" w:cstheme="minorBidi"/>
            <w:noProof/>
            <w:sz w:val="22"/>
          </w:rPr>
          <w:tab/>
        </w:r>
        <w:r w:rsidR="00CD4CA3">
          <w:rPr>
            <w:rStyle w:val="Lienhypertexte"/>
            <w:noProof/>
          </w:rPr>
          <w:t>2</w:t>
        </w:r>
        <w:r w:rsidR="00977420">
          <w:rPr>
            <w:rStyle w:val="Lienhypertexte"/>
            <w:noProof/>
          </w:rPr>
          <w:t>.2.1</w:t>
        </w:r>
        <w:r w:rsidR="00DB48B2" w:rsidRPr="00E71823">
          <w:rPr>
            <w:rStyle w:val="Lienhypertexte"/>
            <w:noProof/>
          </w:rPr>
          <w:t xml:space="preserve"> Baisse des investissements</w:t>
        </w:r>
        <w:r w:rsidR="00DB48B2">
          <w:rPr>
            <w:noProof/>
            <w:webHidden/>
          </w:rPr>
          <w:tab/>
        </w:r>
        <w:r w:rsidR="00184DE9">
          <w:rPr>
            <w:noProof/>
            <w:webHidden/>
          </w:rPr>
          <w:t>54</w:t>
        </w:r>
      </w:hyperlink>
    </w:p>
    <w:p w:rsidR="00DB48B2" w:rsidRDefault="00826CCF" w:rsidP="00184DE9">
      <w:pPr>
        <w:pStyle w:val="TM3"/>
        <w:rPr>
          <w:rFonts w:asciiTheme="minorHAnsi" w:eastAsiaTheme="minorEastAsia" w:hAnsiTheme="minorHAnsi" w:cstheme="minorBidi"/>
          <w:noProof/>
          <w:sz w:val="22"/>
        </w:rPr>
      </w:pPr>
      <w:hyperlink w:anchor="_Toc431980032" w:history="1">
        <w:r w:rsidR="00DB48B2">
          <w:rPr>
            <w:rFonts w:asciiTheme="minorHAnsi" w:eastAsiaTheme="minorEastAsia" w:hAnsiTheme="minorHAnsi" w:cstheme="minorBidi"/>
            <w:noProof/>
            <w:sz w:val="22"/>
          </w:rPr>
          <w:tab/>
        </w:r>
        <w:r w:rsidR="00CD4CA3">
          <w:rPr>
            <w:rStyle w:val="Lienhypertexte"/>
            <w:noProof/>
          </w:rPr>
          <w:t>2</w:t>
        </w:r>
        <w:r w:rsidR="00977420">
          <w:rPr>
            <w:rStyle w:val="Lienhypertexte"/>
            <w:noProof/>
          </w:rPr>
          <w:t>.2.2</w:t>
        </w:r>
        <w:r w:rsidR="00DB48B2" w:rsidRPr="00E71823">
          <w:rPr>
            <w:rStyle w:val="Lienhypertexte"/>
            <w:noProof/>
          </w:rPr>
          <w:t xml:space="preserve"> Le chômage</w:t>
        </w:r>
        <w:r w:rsidR="00DB48B2">
          <w:rPr>
            <w:noProof/>
            <w:webHidden/>
          </w:rPr>
          <w:tab/>
        </w:r>
        <w:r w:rsidR="00184DE9">
          <w:rPr>
            <w:noProof/>
            <w:webHidden/>
          </w:rPr>
          <w:t>54</w:t>
        </w:r>
      </w:hyperlink>
    </w:p>
    <w:p w:rsidR="00DB48B2" w:rsidRDefault="00826CCF" w:rsidP="00184DE9">
      <w:pPr>
        <w:pStyle w:val="TM3"/>
        <w:rPr>
          <w:rFonts w:asciiTheme="minorHAnsi" w:eastAsiaTheme="minorEastAsia" w:hAnsiTheme="minorHAnsi" w:cstheme="minorBidi"/>
          <w:noProof/>
          <w:sz w:val="22"/>
        </w:rPr>
      </w:pPr>
      <w:hyperlink w:anchor="_Toc431980033" w:history="1">
        <w:r w:rsidR="00DB48B2">
          <w:rPr>
            <w:rFonts w:asciiTheme="minorHAnsi" w:eastAsiaTheme="minorEastAsia" w:hAnsiTheme="minorHAnsi" w:cstheme="minorBidi"/>
            <w:noProof/>
            <w:sz w:val="22"/>
          </w:rPr>
          <w:tab/>
        </w:r>
        <w:r w:rsidR="00CD4CA3">
          <w:rPr>
            <w:rStyle w:val="Lienhypertexte"/>
            <w:noProof/>
          </w:rPr>
          <w:t>2</w:t>
        </w:r>
        <w:r w:rsidR="00977420">
          <w:rPr>
            <w:rStyle w:val="Lienhypertexte"/>
            <w:noProof/>
          </w:rPr>
          <w:t xml:space="preserve">.2.3 </w:t>
        </w:r>
        <w:r w:rsidR="00DB48B2" w:rsidRPr="00E71823">
          <w:rPr>
            <w:rStyle w:val="Lienhypertexte"/>
            <w:noProof/>
          </w:rPr>
          <w:t>L’ampleur de l’informel</w:t>
        </w:r>
        <w:r w:rsidR="00DB48B2">
          <w:rPr>
            <w:noProof/>
            <w:webHidden/>
          </w:rPr>
          <w:tab/>
        </w:r>
        <w:r w:rsidR="00184DE9">
          <w:rPr>
            <w:noProof/>
            <w:webHidden/>
          </w:rPr>
          <w:t>54</w:t>
        </w:r>
      </w:hyperlink>
    </w:p>
    <w:p w:rsidR="00DB48B2" w:rsidRDefault="00826CCF" w:rsidP="00184DE9">
      <w:pPr>
        <w:pStyle w:val="TM3"/>
        <w:rPr>
          <w:rFonts w:asciiTheme="minorHAnsi" w:eastAsiaTheme="minorEastAsia" w:hAnsiTheme="minorHAnsi" w:cstheme="minorBidi"/>
          <w:noProof/>
          <w:sz w:val="22"/>
        </w:rPr>
      </w:pPr>
      <w:hyperlink w:anchor="_Toc431980034" w:history="1">
        <w:r w:rsidR="00DB48B2">
          <w:rPr>
            <w:rFonts w:asciiTheme="minorHAnsi" w:eastAsiaTheme="minorEastAsia" w:hAnsiTheme="minorHAnsi" w:cstheme="minorBidi"/>
            <w:noProof/>
            <w:sz w:val="22"/>
          </w:rPr>
          <w:tab/>
        </w:r>
        <w:r w:rsidR="00CD4CA3">
          <w:rPr>
            <w:rStyle w:val="Lienhypertexte"/>
            <w:noProof/>
          </w:rPr>
          <w:t>2</w:t>
        </w:r>
        <w:r w:rsidR="00977420">
          <w:rPr>
            <w:rStyle w:val="Lienhypertexte"/>
            <w:noProof/>
          </w:rPr>
          <w:t xml:space="preserve">.2.4 </w:t>
        </w:r>
        <w:r w:rsidR="00DB48B2" w:rsidRPr="00E71823">
          <w:rPr>
            <w:rStyle w:val="Lienhypertexte"/>
            <w:noProof/>
          </w:rPr>
          <w:t>La baisse des recettes de l’Etat</w:t>
        </w:r>
        <w:r w:rsidR="00DB48B2">
          <w:rPr>
            <w:noProof/>
            <w:webHidden/>
          </w:rPr>
          <w:tab/>
        </w:r>
        <w:r w:rsidR="00184DE9">
          <w:rPr>
            <w:noProof/>
            <w:webHidden/>
          </w:rPr>
          <w:t>55</w:t>
        </w:r>
      </w:hyperlink>
    </w:p>
    <w:p w:rsidR="00DB48B2" w:rsidRDefault="00826CCF" w:rsidP="00184DE9">
      <w:pPr>
        <w:pStyle w:val="TM3"/>
        <w:rPr>
          <w:rFonts w:asciiTheme="minorHAnsi" w:eastAsiaTheme="minorEastAsia" w:hAnsiTheme="minorHAnsi" w:cstheme="minorBidi"/>
          <w:noProof/>
          <w:sz w:val="22"/>
        </w:rPr>
      </w:pPr>
      <w:hyperlink w:anchor="_Toc431980035" w:history="1">
        <w:r w:rsidR="00DB48B2">
          <w:rPr>
            <w:rFonts w:asciiTheme="minorHAnsi" w:eastAsiaTheme="minorEastAsia" w:hAnsiTheme="minorHAnsi" w:cstheme="minorBidi"/>
            <w:noProof/>
            <w:sz w:val="22"/>
          </w:rPr>
          <w:tab/>
        </w:r>
        <w:r w:rsidR="00CD4CA3">
          <w:rPr>
            <w:rStyle w:val="Lienhypertexte"/>
            <w:noProof/>
          </w:rPr>
          <w:t>2</w:t>
        </w:r>
        <w:r w:rsidR="00977420">
          <w:rPr>
            <w:rStyle w:val="Lienhypertexte"/>
            <w:noProof/>
          </w:rPr>
          <w:t>.2.5</w:t>
        </w:r>
        <w:r w:rsidR="00DB48B2" w:rsidRPr="00E71823">
          <w:rPr>
            <w:rStyle w:val="Lienhypertexte"/>
            <w:noProof/>
          </w:rPr>
          <w:t xml:space="preserve"> L'instabilité au niveau des prix</w:t>
        </w:r>
        <w:r w:rsidR="00DB48B2">
          <w:rPr>
            <w:noProof/>
            <w:webHidden/>
          </w:rPr>
          <w:tab/>
        </w:r>
        <w:r w:rsidR="00184DE9">
          <w:rPr>
            <w:noProof/>
            <w:webHidden/>
          </w:rPr>
          <w:t>55</w:t>
        </w:r>
      </w:hyperlink>
    </w:p>
    <w:p w:rsidR="00DB48B2" w:rsidRDefault="00826CCF" w:rsidP="00184DE9">
      <w:pPr>
        <w:pStyle w:val="TM2"/>
        <w:rPr>
          <w:rFonts w:asciiTheme="minorHAnsi" w:eastAsiaTheme="minorEastAsia" w:hAnsiTheme="minorHAnsi" w:cstheme="minorBidi"/>
          <w:noProof/>
          <w:sz w:val="22"/>
        </w:rPr>
      </w:pPr>
      <w:hyperlink w:anchor="_Toc431980036" w:history="1">
        <w:r w:rsidR="00CD4CA3">
          <w:rPr>
            <w:rStyle w:val="Lienhypertexte"/>
            <w:noProof/>
          </w:rPr>
          <w:t>2</w:t>
        </w:r>
        <w:r w:rsidR="00977420">
          <w:rPr>
            <w:rStyle w:val="Lienhypertexte"/>
            <w:noProof/>
          </w:rPr>
          <w:t xml:space="preserve">.3 </w:t>
        </w:r>
        <w:r w:rsidR="00DB48B2" w:rsidRPr="00E71823">
          <w:rPr>
            <w:rStyle w:val="Lienhypertexte"/>
            <w:noProof/>
          </w:rPr>
          <w:t>Autres conséquences économiques</w:t>
        </w:r>
        <w:r w:rsidR="00DB48B2">
          <w:rPr>
            <w:noProof/>
            <w:webHidden/>
          </w:rPr>
          <w:tab/>
        </w:r>
        <w:r w:rsidR="00184DE9">
          <w:rPr>
            <w:noProof/>
            <w:webHidden/>
          </w:rPr>
          <w:t>55</w:t>
        </w:r>
      </w:hyperlink>
    </w:p>
    <w:p w:rsidR="00DB48B2" w:rsidRDefault="00826CCF" w:rsidP="00184DE9">
      <w:pPr>
        <w:pStyle w:val="TM1"/>
        <w:rPr>
          <w:rFonts w:asciiTheme="minorHAnsi" w:eastAsiaTheme="minorEastAsia" w:hAnsiTheme="minorHAnsi" w:cstheme="minorBidi"/>
          <w:noProof/>
          <w:sz w:val="22"/>
        </w:rPr>
      </w:pPr>
      <w:hyperlink w:anchor="_Toc431980037" w:history="1">
        <w:r w:rsidR="00DB48B2" w:rsidRPr="00E71823">
          <w:rPr>
            <w:rStyle w:val="Lienhypertexte"/>
            <w:noProof/>
          </w:rPr>
          <w:t>Conclusion :</w:t>
        </w:r>
        <w:r w:rsidR="00DB48B2">
          <w:rPr>
            <w:noProof/>
            <w:webHidden/>
          </w:rPr>
          <w:tab/>
        </w:r>
        <w:r w:rsidR="00184DE9">
          <w:rPr>
            <w:noProof/>
            <w:webHidden/>
          </w:rPr>
          <w:t>57</w:t>
        </w:r>
      </w:hyperlink>
    </w:p>
    <w:p w:rsidR="00DB48B2" w:rsidRDefault="00826CCF" w:rsidP="00184DE9">
      <w:pPr>
        <w:pStyle w:val="TM1"/>
        <w:rPr>
          <w:rFonts w:asciiTheme="minorHAnsi" w:eastAsiaTheme="minorEastAsia" w:hAnsiTheme="minorHAnsi" w:cstheme="minorBidi"/>
          <w:noProof/>
          <w:sz w:val="22"/>
        </w:rPr>
      </w:pPr>
      <w:hyperlink w:anchor="_Toc431980038" w:history="1">
        <w:r w:rsidR="00DB48B2" w:rsidRPr="00E71823">
          <w:rPr>
            <w:rStyle w:val="Lienhypertexte"/>
            <w:noProof/>
          </w:rPr>
          <w:t>CHAPITRE III : Les facteurs de la surliquidité bancai</w:t>
        </w:r>
        <w:r>
          <w:rPr>
            <w:rStyle w:val="Lienhypertexte"/>
            <w:noProof/>
          </w:rPr>
          <w:t>re et les mesures de sa gestion en Algérir</w:t>
        </w:r>
        <w:r w:rsidR="00DB48B2">
          <w:rPr>
            <w:noProof/>
            <w:webHidden/>
          </w:rPr>
          <w:tab/>
        </w:r>
        <w:r w:rsidR="00184DE9">
          <w:rPr>
            <w:noProof/>
            <w:webHidden/>
          </w:rPr>
          <w:t>57</w:t>
        </w:r>
      </w:hyperlink>
    </w:p>
    <w:p w:rsidR="00DB48B2" w:rsidRDefault="00826CCF" w:rsidP="00184DE9">
      <w:pPr>
        <w:pStyle w:val="TM1"/>
        <w:rPr>
          <w:rFonts w:asciiTheme="minorHAnsi" w:eastAsiaTheme="minorEastAsia" w:hAnsiTheme="minorHAnsi" w:cstheme="minorBidi"/>
          <w:noProof/>
          <w:sz w:val="22"/>
        </w:rPr>
      </w:pPr>
      <w:hyperlink w:anchor="_Toc431980039" w:history="1">
        <w:r w:rsidR="00DB48B2" w:rsidRPr="00E71823">
          <w:rPr>
            <w:rStyle w:val="Lienhypertexte"/>
            <w:noProof/>
          </w:rPr>
          <w:t>Introduction</w:t>
        </w:r>
        <w:r w:rsidR="00DB48B2">
          <w:rPr>
            <w:noProof/>
            <w:webHidden/>
          </w:rPr>
          <w:tab/>
        </w:r>
        <w:r w:rsidR="00375DC2">
          <w:rPr>
            <w:noProof/>
            <w:webHidden/>
          </w:rPr>
          <w:fldChar w:fldCharType="begin"/>
        </w:r>
        <w:r w:rsidR="00DB48B2">
          <w:rPr>
            <w:noProof/>
            <w:webHidden/>
          </w:rPr>
          <w:instrText xml:space="preserve"> PAGEREF _Toc431980039 \h </w:instrText>
        </w:r>
        <w:r w:rsidR="00375DC2">
          <w:rPr>
            <w:noProof/>
            <w:webHidden/>
          </w:rPr>
        </w:r>
        <w:r w:rsidR="00375DC2">
          <w:rPr>
            <w:noProof/>
            <w:webHidden/>
          </w:rPr>
          <w:fldChar w:fldCharType="separate"/>
        </w:r>
        <w:r w:rsidR="00593D6A">
          <w:rPr>
            <w:noProof/>
            <w:webHidden/>
          </w:rPr>
          <w:t>5</w:t>
        </w:r>
        <w:r w:rsidR="00184DE9">
          <w:rPr>
            <w:noProof/>
            <w:webHidden/>
          </w:rPr>
          <w:t>7</w:t>
        </w:r>
        <w:r w:rsidR="00375DC2">
          <w:rPr>
            <w:noProof/>
            <w:webHidden/>
          </w:rPr>
          <w:fldChar w:fldCharType="end"/>
        </w:r>
      </w:hyperlink>
    </w:p>
    <w:p w:rsidR="00DB48B2" w:rsidRDefault="00826CCF" w:rsidP="00184DE9">
      <w:pPr>
        <w:pStyle w:val="TM1"/>
        <w:rPr>
          <w:rFonts w:asciiTheme="minorHAnsi" w:eastAsiaTheme="minorEastAsia" w:hAnsiTheme="minorHAnsi" w:cstheme="minorBidi"/>
          <w:noProof/>
          <w:sz w:val="22"/>
        </w:rPr>
      </w:pPr>
      <w:hyperlink w:anchor="_Toc431980040" w:history="1">
        <w:r w:rsidR="00DB48B2" w:rsidRPr="00E71823">
          <w:rPr>
            <w:rStyle w:val="Lienhypertexte"/>
            <w:noProof/>
          </w:rPr>
          <w:t>Section 01 : Les principaux facteurs de la surliquidité bancaire</w:t>
        </w:r>
        <w:r w:rsidR="00DB48B2">
          <w:rPr>
            <w:noProof/>
            <w:webHidden/>
          </w:rPr>
          <w:tab/>
        </w:r>
        <w:r w:rsidR="00375DC2">
          <w:rPr>
            <w:noProof/>
            <w:webHidden/>
          </w:rPr>
          <w:fldChar w:fldCharType="begin"/>
        </w:r>
        <w:r w:rsidR="00DB48B2">
          <w:rPr>
            <w:noProof/>
            <w:webHidden/>
          </w:rPr>
          <w:instrText xml:space="preserve"> PAGEREF _Toc431980040 \h </w:instrText>
        </w:r>
        <w:r w:rsidR="00375DC2">
          <w:rPr>
            <w:noProof/>
            <w:webHidden/>
          </w:rPr>
        </w:r>
        <w:r w:rsidR="00375DC2">
          <w:rPr>
            <w:noProof/>
            <w:webHidden/>
          </w:rPr>
          <w:fldChar w:fldCharType="separate"/>
        </w:r>
        <w:r w:rsidR="00593D6A">
          <w:rPr>
            <w:noProof/>
            <w:webHidden/>
          </w:rPr>
          <w:t>5</w:t>
        </w:r>
        <w:r w:rsidR="00184DE9">
          <w:rPr>
            <w:noProof/>
            <w:webHidden/>
          </w:rPr>
          <w:t>8</w:t>
        </w:r>
        <w:r w:rsidR="00375DC2">
          <w:rPr>
            <w:noProof/>
            <w:webHidden/>
          </w:rPr>
          <w:fldChar w:fldCharType="end"/>
        </w:r>
      </w:hyperlink>
    </w:p>
    <w:p w:rsidR="00DB48B2" w:rsidRDefault="00826CCF" w:rsidP="00184DE9">
      <w:pPr>
        <w:pStyle w:val="TM1"/>
        <w:rPr>
          <w:rFonts w:asciiTheme="minorHAnsi" w:eastAsiaTheme="minorEastAsia" w:hAnsiTheme="minorHAnsi" w:cstheme="minorBidi"/>
          <w:noProof/>
          <w:sz w:val="22"/>
        </w:rPr>
      </w:pPr>
      <w:hyperlink w:anchor="_Toc431980042" w:history="1">
        <w:r w:rsidR="00DB48B2" w:rsidRPr="00E71823">
          <w:rPr>
            <w:rStyle w:val="Lienhypertexte"/>
            <w:noProof/>
          </w:rPr>
          <w:t>I-</w:t>
        </w:r>
        <w:r w:rsidR="00DB48B2">
          <w:rPr>
            <w:rFonts w:asciiTheme="minorHAnsi" w:eastAsiaTheme="minorEastAsia" w:hAnsiTheme="minorHAnsi" w:cstheme="minorBidi"/>
            <w:noProof/>
            <w:sz w:val="22"/>
          </w:rPr>
          <w:tab/>
        </w:r>
        <w:r w:rsidR="00DB48B2" w:rsidRPr="00E71823">
          <w:rPr>
            <w:rStyle w:val="Lienhypertexte"/>
            <w:noProof/>
          </w:rPr>
          <w:t>Evolution rapide de l’épargne :</w:t>
        </w:r>
        <w:r w:rsidR="00DB48B2">
          <w:rPr>
            <w:noProof/>
            <w:webHidden/>
          </w:rPr>
          <w:tab/>
        </w:r>
        <w:r w:rsidR="00375DC2">
          <w:rPr>
            <w:noProof/>
            <w:webHidden/>
          </w:rPr>
          <w:fldChar w:fldCharType="begin"/>
        </w:r>
        <w:r w:rsidR="00DB48B2">
          <w:rPr>
            <w:noProof/>
            <w:webHidden/>
          </w:rPr>
          <w:instrText xml:space="preserve"> PAGEREF _Toc431980042 \h </w:instrText>
        </w:r>
        <w:r w:rsidR="00375DC2">
          <w:rPr>
            <w:noProof/>
            <w:webHidden/>
          </w:rPr>
        </w:r>
        <w:r w:rsidR="00375DC2">
          <w:rPr>
            <w:noProof/>
            <w:webHidden/>
          </w:rPr>
          <w:fldChar w:fldCharType="separate"/>
        </w:r>
        <w:r w:rsidR="00593D6A">
          <w:rPr>
            <w:noProof/>
            <w:webHidden/>
          </w:rPr>
          <w:t>5</w:t>
        </w:r>
        <w:r w:rsidR="00184DE9">
          <w:rPr>
            <w:noProof/>
            <w:webHidden/>
          </w:rPr>
          <w:t>8</w:t>
        </w:r>
        <w:r w:rsidR="00375DC2">
          <w:rPr>
            <w:noProof/>
            <w:webHidden/>
          </w:rPr>
          <w:fldChar w:fldCharType="end"/>
        </w:r>
      </w:hyperlink>
    </w:p>
    <w:p w:rsidR="00DB48B2" w:rsidRDefault="00826CCF" w:rsidP="00184DE9">
      <w:pPr>
        <w:pStyle w:val="TM2"/>
        <w:rPr>
          <w:rFonts w:asciiTheme="minorHAnsi" w:eastAsiaTheme="minorEastAsia" w:hAnsiTheme="minorHAnsi" w:cstheme="minorBidi"/>
          <w:noProof/>
          <w:sz w:val="22"/>
        </w:rPr>
      </w:pPr>
      <w:hyperlink w:anchor="_Toc431980043" w:history="1">
        <w:r w:rsidR="00DB48B2" w:rsidRPr="00E71823">
          <w:rPr>
            <w:rStyle w:val="Lienhypertexte"/>
            <w:noProof/>
          </w:rPr>
          <w:t>II- L’évolution de la masse monétaire M2</w:t>
        </w:r>
        <w:r w:rsidR="00DB48B2">
          <w:rPr>
            <w:noProof/>
            <w:webHidden/>
          </w:rPr>
          <w:tab/>
        </w:r>
        <w:r w:rsidR="00184DE9">
          <w:rPr>
            <w:noProof/>
            <w:webHidden/>
          </w:rPr>
          <w:t>60</w:t>
        </w:r>
      </w:hyperlink>
    </w:p>
    <w:p w:rsidR="00DB48B2" w:rsidRDefault="00826CCF" w:rsidP="00184DE9">
      <w:pPr>
        <w:pStyle w:val="TM3"/>
        <w:rPr>
          <w:rFonts w:asciiTheme="minorHAnsi" w:eastAsiaTheme="minorEastAsia" w:hAnsiTheme="minorHAnsi" w:cstheme="minorBidi"/>
          <w:noProof/>
          <w:sz w:val="22"/>
        </w:rPr>
      </w:pPr>
      <w:hyperlink w:anchor="_Toc431980044" w:history="1">
        <w:r w:rsidR="00DB48B2" w:rsidRPr="00E71823">
          <w:rPr>
            <w:rStyle w:val="Lienhypertexte"/>
            <w:rFonts w:ascii="Symbol" w:hAnsi="Symbol"/>
            <w:noProof/>
          </w:rPr>
          <w:t></w:t>
        </w:r>
        <w:r w:rsidR="00DB48B2">
          <w:rPr>
            <w:rFonts w:asciiTheme="minorHAnsi" w:eastAsiaTheme="minorEastAsia" w:hAnsiTheme="minorHAnsi" w:cstheme="minorBidi"/>
            <w:noProof/>
            <w:sz w:val="22"/>
          </w:rPr>
          <w:tab/>
        </w:r>
        <w:r w:rsidR="00DB48B2" w:rsidRPr="00E71823">
          <w:rPr>
            <w:rStyle w:val="Lienhypertexte"/>
            <w:noProof/>
          </w:rPr>
          <w:t>La monétisation des avoirs extérieurs</w:t>
        </w:r>
        <w:r w:rsidR="00DB48B2">
          <w:rPr>
            <w:noProof/>
            <w:webHidden/>
          </w:rPr>
          <w:tab/>
        </w:r>
        <w:r w:rsidR="00184DE9">
          <w:rPr>
            <w:noProof/>
            <w:webHidden/>
          </w:rPr>
          <w:t>63</w:t>
        </w:r>
      </w:hyperlink>
    </w:p>
    <w:p w:rsidR="00DB48B2" w:rsidRDefault="00826CCF" w:rsidP="00184DE9">
      <w:pPr>
        <w:pStyle w:val="TM3"/>
        <w:rPr>
          <w:rFonts w:asciiTheme="minorHAnsi" w:eastAsiaTheme="minorEastAsia" w:hAnsiTheme="minorHAnsi" w:cstheme="minorBidi"/>
          <w:noProof/>
          <w:sz w:val="22"/>
        </w:rPr>
      </w:pPr>
      <w:hyperlink w:anchor="_Toc431980045" w:history="1">
        <w:r w:rsidR="00DB48B2" w:rsidRPr="00E71823">
          <w:rPr>
            <w:rStyle w:val="Lienhypertexte"/>
            <w:rFonts w:ascii="Symbol" w:hAnsi="Symbol"/>
            <w:noProof/>
          </w:rPr>
          <w:t></w:t>
        </w:r>
        <w:r w:rsidR="00DB48B2">
          <w:rPr>
            <w:rFonts w:asciiTheme="minorHAnsi" w:eastAsiaTheme="minorEastAsia" w:hAnsiTheme="minorHAnsi" w:cstheme="minorBidi"/>
            <w:noProof/>
            <w:sz w:val="22"/>
          </w:rPr>
          <w:tab/>
        </w:r>
        <w:r w:rsidR="00DB48B2" w:rsidRPr="00E71823">
          <w:rPr>
            <w:rStyle w:val="Lienhypertexte"/>
            <w:noProof/>
          </w:rPr>
          <w:t>La distribution des crédits à l’économie</w:t>
        </w:r>
        <w:r w:rsidR="00DB48B2">
          <w:rPr>
            <w:noProof/>
            <w:webHidden/>
          </w:rPr>
          <w:tab/>
        </w:r>
        <w:r w:rsidR="00184DE9">
          <w:rPr>
            <w:noProof/>
            <w:webHidden/>
          </w:rPr>
          <w:t>65</w:t>
        </w:r>
      </w:hyperlink>
    </w:p>
    <w:p w:rsidR="00DB48B2" w:rsidRDefault="00826CCF" w:rsidP="00184DE9">
      <w:pPr>
        <w:pStyle w:val="TM2"/>
        <w:rPr>
          <w:rFonts w:asciiTheme="minorHAnsi" w:eastAsiaTheme="minorEastAsia" w:hAnsiTheme="minorHAnsi" w:cstheme="minorBidi"/>
          <w:noProof/>
          <w:sz w:val="22"/>
        </w:rPr>
      </w:pPr>
      <w:hyperlink w:anchor="_Toc431980046" w:history="1">
        <w:r w:rsidR="00DB48B2" w:rsidRPr="00E71823">
          <w:rPr>
            <w:rStyle w:val="Lienhypertexte"/>
            <w:noProof/>
          </w:rPr>
          <w:t>III- Assainissement et la recapitalisation du secteur bancaire</w:t>
        </w:r>
        <w:r w:rsidR="00DB48B2">
          <w:rPr>
            <w:noProof/>
            <w:webHidden/>
          </w:rPr>
          <w:tab/>
        </w:r>
        <w:r w:rsidR="00375DC2">
          <w:rPr>
            <w:noProof/>
            <w:webHidden/>
          </w:rPr>
          <w:fldChar w:fldCharType="begin"/>
        </w:r>
        <w:r w:rsidR="00DB48B2">
          <w:rPr>
            <w:noProof/>
            <w:webHidden/>
          </w:rPr>
          <w:instrText xml:space="preserve"> PAGEREF _Toc431980046 \h </w:instrText>
        </w:r>
        <w:r w:rsidR="00375DC2">
          <w:rPr>
            <w:noProof/>
            <w:webHidden/>
          </w:rPr>
        </w:r>
        <w:r w:rsidR="00375DC2">
          <w:rPr>
            <w:noProof/>
            <w:webHidden/>
          </w:rPr>
          <w:fldChar w:fldCharType="separate"/>
        </w:r>
        <w:r w:rsidR="00593D6A">
          <w:rPr>
            <w:noProof/>
            <w:webHidden/>
          </w:rPr>
          <w:t>6</w:t>
        </w:r>
        <w:r w:rsidR="00184DE9">
          <w:rPr>
            <w:noProof/>
            <w:webHidden/>
          </w:rPr>
          <w:t>6</w:t>
        </w:r>
        <w:r w:rsidR="00375DC2">
          <w:rPr>
            <w:noProof/>
            <w:webHidden/>
          </w:rPr>
          <w:fldChar w:fldCharType="end"/>
        </w:r>
      </w:hyperlink>
    </w:p>
    <w:p w:rsidR="00DB48B2" w:rsidRDefault="00826CCF" w:rsidP="00184DE9">
      <w:pPr>
        <w:pStyle w:val="TM3"/>
        <w:rPr>
          <w:rFonts w:asciiTheme="minorHAnsi" w:eastAsiaTheme="minorEastAsia" w:hAnsiTheme="minorHAnsi" w:cstheme="minorBidi"/>
          <w:noProof/>
          <w:sz w:val="22"/>
        </w:rPr>
      </w:pPr>
      <w:hyperlink w:anchor="_Toc431980047" w:history="1">
        <w:r w:rsidR="00DB48B2" w:rsidRPr="00E71823">
          <w:rPr>
            <w:rStyle w:val="Lienhypertexte"/>
            <w:noProof/>
          </w:rPr>
          <w:t>III-1 Définition et objectifs de l’assainissement</w:t>
        </w:r>
        <w:r w:rsidR="00DB48B2">
          <w:rPr>
            <w:noProof/>
            <w:webHidden/>
          </w:rPr>
          <w:tab/>
        </w:r>
        <w:r w:rsidR="00375DC2">
          <w:rPr>
            <w:noProof/>
            <w:webHidden/>
          </w:rPr>
          <w:fldChar w:fldCharType="begin"/>
        </w:r>
        <w:r w:rsidR="00DB48B2">
          <w:rPr>
            <w:noProof/>
            <w:webHidden/>
          </w:rPr>
          <w:instrText xml:space="preserve"> PAGEREF _Toc431980047 \h </w:instrText>
        </w:r>
        <w:r w:rsidR="00375DC2">
          <w:rPr>
            <w:noProof/>
            <w:webHidden/>
          </w:rPr>
        </w:r>
        <w:r w:rsidR="00375DC2">
          <w:rPr>
            <w:noProof/>
            <w:webHidden/>
          </w:rPr>
          <w:fldChar w:fldCharType="separate"/>
        </w:r>
        <w:r w:rsidR="00593D6A">
          <w:rPr>
            <w:noProof/>
            <w:webHidden/>
          </w:rPr>
          <w:t>6</w:t>
        </w:r>
        <w:r w:rsidR="00184DE9">
          <w:rPr>
            <w:noProof/>
            <w:webHidden/>
          </w:rPr>
          <w:t>6</w:t>
        </w:r>
        <w:r w:rsidR="00375DC2">
          <w:rPr>
            <w:noProof/>
            <w:webHidden/>
          </w:rPr>
          <w:fldChar w:fldCharType="end"/>
        </w:r>
      </w:hyperlink>
    </w:p>
    <w:p w:rsidR="00DB48B2" w:rsidRDefault="00826CCF" w:rsidP="00184DE9">
      <w:pPr>
        <w:pStyle w:val="TM3"/>
        <w:rPr>
          <w:rFonts w:asciiTheme="minorHAnsi" w:eastAsiaTheme="minorEastAsia" w:hAnsiTheme="minorHAnsi" w:cstheme="minorBidi"/>
          <w:noProof/>
          <w:sz w:val="22"/>
        </w:rPr>
      </w:pPr>
      <w:hyperlink w:anchor="_Toc431980048" w:history="1">
        <w:r w:rsidR="00DB48B2" w:rsidRPr="00E71823">
          <w:rPr>
            <w:rStyle w:val="Lienhypertexte"/>
            <w:noProof/>
          </w:rPr>
          <w:t>III-2 La recapitalisation du système bancaire</w:t>
        </w:r>
        <w:r w:rsidR="00DB48B2">
          <w:rPr>
            <w:noProof/>
            <w:webHidden/>
          </w:rPr>
          <w:tab/>
        </w:r>
        <w:r w:rsidR="00375DC2">
          <w:rPr>
            <w:noProof/>
            <w:webHidden/>
          </w:rPr>
          <w:fldChar w:fldCharType="begin"/>
        </w:r>
        <w:r w:rsidR="00DB48B2">
          <w:rPr>
            <w:noProof/>
            <w:webHidden/>
          </w:rPr>
          <w:instrText xml:space="preserve"> PAGEREF _Toc431980048 \h </w:instrText>
        </w:r>
        <w:r w:rsidR="00375DC2">
          <w:rPr>
            <w:noProof/>
            <w:webHidden/>
          </w:rPr>
        </w:r>
        <w:r w:rsidR="00375DC2">
          <w:rPr>
            <w:noProof/>
            <w:webHidden/>
          </w:rPr>
          <w:fldChar w:fldCharType="separate"/>
        </w:r>
        <w:r w:rsidR="00593D6A">
          <w:rPr>
            <w:noProof/>
            <w:webHidden/>
          </w:rPr>
          <w:t>6</w:t>
        </w:r>
        <w:r w:rsidR="00184DE9">
          <w:rPr>
            <w:noProof/>
            <w:webHidden/>
          </w:rPr>
          <w:t>7</w:t>
        </w:r>
        <w:r w:rsidR="00375DC2">
          <w:rPr>
            <w:noProof/>
            <w:webHidden/>
          </w:rPr>
          <w:fldChar w:fldCharType="end"/>
        </w:r>
      </w:hyperlink>
    </w:p>
    <w:p w:rsidR="00DB48B2" w:rsidRDefault="00826CCF" w:rsidP="00184DE9">
      <w:pPr>
        <w:pStyle w:val="TM1"/>
        <w:rPr>
          <w:noProof/>
        </w:rPr>
      </w:pPr>
      <w:hyperlink w:anchor="_Toc431980049" w:history="1">
        <w:r w:rsidR="00DB48B2" w:rsidRPr="00E71823">
          <w:rPr>
            <w:rStyle w:val="Lienhypertexte"/>
            <w:noProof/>
          </w:rPr>
          <w:t>Section 02 : Les mesures de gestion de la surliquidité bancaire en Algérie</w:t>
        </w:r>
        <w:r w:rsidR="00DB48B2">
          <w:rPr>
            <w:noProof/>
            <w:webHidden/>
          </w:rPr>
          <w:tab/>
        </w:r>
        <w:r w:rsidR="00375DC2">
          <w:rPr>
            <w:noProof/>
            <w:webHidden/>
          </w:rPr>
          <w:fldChar w:fldCharType="begin"/>
        </w:r>
        <w:r w:rsidR="00DB48B2">
          <w:rPr>
            <w:noProof/>
            <w:webHidden/>
          </w:rPr>
          <w:instrText xml:space="preserve"> PAGEREF _Toc431980049 \h </w:instrText>
        </w:r>
        <w:r w:rsidR="00375DC2">
          <w:rPr>
            <w:noProof/>
            <w:webHidden/>
          </w:rPr>
        </w:r>
        <w:r w:rsidR="00375DC2">
          <w:rPr>
            <w:noProof/>
            <w:webHidden/>
          </w:rPr>
          <w:fldChar w:fldCharType="separate"/>
        </w:r>
        <w:r w:rsidR="00593D6A">
          <w:rPr>
            <w:noProof/>
            <w:webHidden/>
          </w:rPr>
          <w:t>6</w:t>
        </w:r>
        <w:r w:rsidR="00184DE9">
          <w:rPr>
            <w:noProof/>
            <w:webHidden/>
          </w:rPr>
          <w:t>8</w:t>
        </w:r>
        <w:r w:rsidR="00375DC2">
          <w:rPr>
            <w:noProof/>
            <w:webHidden/>
          </w:rPr>
          <w:fldChar w:fldCharType="end"/>
        </w:r>
      </w:hyperlink>
    </w:p>
    <w:p w:rsidR="00CD4CA3" w:rsidRDefault="00CD4CA3" w:rsidP="00184DE9">
      <w:pPr>
        <w:rPr>
          <w:rFonts w:eastAsiaTheme="minorEastAsia"/>
        </w:rPr>
      </w:pPr>
      <w:r>
        <w:rPr>
          <w:rFonts w:eastAsiaTheme="minorEastAsia"/>
        </w:rPr>
        <w:t>1. La conduite de la politique monétaire</w:t>
      </w:r>
      <w:r w:rsidR="00AE20B4">
        <w:rPr>
          <w:rFonts w:eastAsiaTheme="minorEastAsia"/>
        </w:rPr>
        <w:t>……………………………………………..6</w:t>
      </w:r>
      <w:r w:rsidR="00184DE9">
        <w:rPr>
          <w:rFonts w:eastAsiaTheme="minorEastAsia"/>
        </w:rPr>
        <w:t>8</w:t>
      </w:r>
    </w:p>
    <w:p w:rsidR="00CD4CA3" w:rsidRDefault="00CD4CA3" w:rsidP="00184DE9">
      <w:pPr>
        <w:rPr>
          <w:rFonts w:eastAsiaTheme="minorEastAsia"/>
        </w:rPr>
      </w:pPr>
      <w:r>
        <w:rPr>
          <w:rFonts w:eastAsiaTheme="minorEastAsia"/>
        </w:rPr>
        <w:t>1.1 Les réserves obligatoires</w:t>
      </w:r>
      <w:r w:rsidR="00AE20B4">
        <w:rPr>
          <w:rFonts w:eastAsiaTheme="minorEastAsia"/>
        </w:rPr>
        <w:t>………………………………………………………….6</w:t>
      </w:r>
      <w:r w:rsidR="00184DE9">
        <w:rPr>
          <w:rFonts w:eastAsiaTheme="minorEastAsia"/>
        </w:rPr>
        <w:t>8</w:t>
      </w:r>
    </w:p>
    <w:p w:rsidR="00CD4CA3" w:rsidRDefault="00CD4CA3" w:rsidP="00184DE9">
      <w:pPr>
        <w:rPr>
          <w:rFonts w:eastAsiaTheme="minorEastAsia"/>
        </w:rPr>
      </w:pPr>
      <w:r>
        <w:rPr>
          <w:rFonts w:eastAsiaTheme="minorEastAsia"/>
        </w:rPr>
        <w:t>1.2 La reprise de liquidité</w:t>
      </w:r>
      <w:r w:rsidR="00AE20B4">
        <w:rPr>
          <w:rFonts w:eastAsiaTheme="minorEastAsia"/>
        </w:rPr>
        <w:t>…………………………………………………………….6</w:t>
      </w:r>
      <w:r w:rsidR="00184DE9">
        <w:rPr>
          <w:rFonts w:eastAsiaTheme="minorEastAsia"/>
        </w:rPr>
        <w:t>9</w:t>
      </w:r>
    </w:p>
    <w:p w:rsidR="00CD4CA3" w:rsidRDefault="00CD4CA3" w:rsidP="00184DE9">
      <w:pPr>
        <w:rPr>
          <w:rFonts w:eastAsiaTheme="minorEastAsia"/>
        </w:rPr>
      </w:pPr>
      <w:r>
        <w:rPr>
          <w:rFonts w:eastAsiaTheme="minorEastAsia"/>
        </w:rPr>
        <w:t>1.3 La facilité de dépôts</w:t>
      </w:r>
      <w:r w:rsidR="00AE20B4">
        <w:rPr>
          <w:rFonts w:eastAsiaTheme="minorEastAsia"/>
        </w:rPr>
        <w:t>………………………………………………………………</w:t>
      </w:r>
      <w:r w:rsidR="00184DE9">
        <w:rPr>
          <w:rFonts w:eastAsiaTheme="minorEastAsia"/>
        </w:rPr>
        <w:t>71</w:t>
      </w:r>
    </w:p>
    <w:p w:rsidR="00CD4CA3" w:rsidRDefault="00CD4CA3" w:rsidP="00184DE9">
      <w:pPr>
        <w:rPr>
          <w:rFonts w:eastAsiaTheme="minorEastAsia"/>
        </w:rPr>
      </w:pPr>
      <w:r>
        <w:rPr>
          <w:rFonts w:eastAsiaTheme="minorEastAsia"/>
        </w:rPr>
        <w:t>2. La gestion de la surliquidité bancaire</w:t>
      </w:r>
      <w:r w:rsidR="00AE20B4">
        <w:rPr>
          <w:rFonts w:eastAsiaTheme="minorEastAsia"/>
        </w:rPr>
        <w:t>……………………………………………...</w:t>
      </w:r>
      <w:r w:rsidR="00184DE9">
        <w:rPr>
          <w:rFonts w:eastAsiaTheme="minorEastAsia"/>
        </w:rPr>
        <w:t>71</w:t>
      </w:r>
    </w:p>
    <w:p w:rsidR="00CD4CA3" w:rsidRDefault="00CD4CA3" w:rsidP="00184DE9">
      <w:pPr>
        <w:rPr>
          <w:rFonts w:eastAsiaTheme="minorEastAsia"/>
        </w:rPr>
      </w:pPr>
      <w:r>
        <w:rPr>
          <w:rFonts w:eastAsiaTheme="minorEastAsia"/>
        </w:rPr>
        <w:lastRenderedPageBreak/>
        <w:t>2.1 La gestion directe des excédents</w:t>
      </w:r>
      <w:r w:rsidR="00AE20B4">
        <w:rPr>
          <w:rFonts w:eastAsiaTheme="minorEastAsia"/>
        </w:rPr>
        <w:t>………………………………………………….</w:t>
      </w:r>
      <w:r w:rsidR="00184DE9">
        <w:rPr>
          <w:rFonts w:eastAsiaTheme="minorEastAsia"/>
        </w:rPr>
        <w:t>72</w:t>
      </w:r>
    </w:p>
    <w:p w:rsidR="00CD4CA3" w:rsidRDefault="00CD4CA3" w:rsidP="00184DE9">
      <w:pPr>
        <w:rPr>
          <w:rFonts w:eastAsiaTheme="minorEastAsia"/>
        </w:rPr>
      </w:pPr>
      <w:r>
        <w:rPr>
          <w:rFonts w:eastAsiaTheme="minorEastAsia"/>
        </w:rPr>
        <w:t>2.1.1 La baisse des taux d'intérêts</w:t>
      </w:r>
      <w:r w:rsidR="00AE20B4">
        <w:rPr>
          <w:rFonts w:eastAsiaTheme="minorEastAsia"/>
        </w:rPr>
        <w:t>……………………………………………………</w:t>
      </w:r>
      <w:r w:rsidR="00184DE9">
        <w:rPr>
          <w:rFonts w:eastAsiaTheme="minorEastAsia"/>
        </w:rPr>
        <w:t>72</w:t>
      </w:r>
    </w:p>
    <w:p w:rsidR="00CD4CA3" w:rsidRDefault="00CD4CA3" w:rsidP="00184DE9">
      <w:pPr>
        <w:rPr>
          <w:rFonts w:eastAsiaTheme="minorEastAsia"/>
        </w:rPr>
      </w:pPr>
      <w:r>
        <w:rPr>
          <w:rFonts w:eastAsiaTheme="minorEastAsia"/>
        </w:rPr>
        <w:t>2.1.2 Placement sur le marché financier</w:t>
      </w:r>
      <w:r w:rsidR="00AE20B4">
        <w:rPr>
          <w:rFonts w:eastAsiaTheme="minorEastAsia"/>
        </w:rPr>
        <w:t>……………………………………………..</w:t>
      </w:r>
      <w:r w:rsidR="00184DE9">
        <w:rPr>
          <w:rFonts w:eastAsiaTheme="minorEastAsia"/>
        </w:rPr>
        <w:t>72</w:t>
      </w:r>
    </w:p>
    <w:p w:rsidR="00AE20B4" w:rsidRDefault="00AE20B4" w:rsidP="00184DE9">
      <w:pPr>
        <w:rPr>
          <w:rFonts w:eastAsiaTheme="minorEastAsia"/>
        </w:rPr>
      </w:pPr>
      <w:r>
        <w:rPr>
          <w:rFonts w:eastAsiaTheme="minorEastAsia"/>
        </w:rPr>
        <w:t>2.1.3 Placement sur le marché des titres négociables………………………………..</w:t>
      </w:r>
      <w:r w:rsidR="00184DE9">
        <w:rPr>
          <w:rFonts w:eastAsiaTheme="minorEastAsia"/>
        </w:rPr>
        <w:t>73</w:t>
      </w:r>
    </w:p>
    <w:p w:rsidR="00AE20B4" w:rsidRDefault="00AE20B4" w:rsidP="00184DE9">
      <w:pPr>
        <w:rPr>
          <w:rFonts w:eastAsiaTheme="minorEastAsia"/>
        </w:rPr>
      </w:pPr>
      <w:r>
        <w:rPr>
          <w:rFonts w:eastAsiaTheme="minorEastAsia"/>
        </w:rPr>
        <w:t>2.2 Gestion déléguée des excédents…………………………………………………..</w:t>
      </w:r>
      <w:r w:rsidR="00184DE9">
        <w:rPr>
          <w:rFonts w:eastAsiaTheme="minorEastAsia"/>
        </w:rPr>
        <w:t>73</w:t>
      </w:r>
    </w:p>
    <w:p w:rsidR="00AE20B4" w:rsidRDefault="00AE20B4" w:rsidP="00184DE9">
      <w:pPr>
        <w:rPr>
          <w:rFonts w:eastAsiaTheme="minorEastAsia"/>
        </w:rPr>
      </w:pPr>
      <w:r>
        <w:rPr>
          <w:rFonts w:eastAsiaTheme="minorEastAsia"/>
        </w:rPr>
        <w:t>2.2.1 Les parts émises par les OPCVM………………………………………………</w:t>
      </w:r>
      <w:r w:rsidR="00184DE9">
        <w:rPr>
          <w:rFonts w:eastAsiaTheme="minorEastAsia"/>
        </w:rPr>
        <w:t>73</w:t>
      </w:r>
    </w:p>
    <w:p w:rsidR="00AE20B4" w:rsidRPr="00CD4CA3" w:rsidRDefault="00AE20B4" w:rsidP="00184DE9">
      <w:pPr>
        <w:rPr>
          <w:rFonts w:eastAsiaTheme="minorEastAsia"/>
        </w:rPr>
      </w:pPr>
      <w:r>
        <w:rPr>
          <w:rFonts w:eastAsiaTheme="minorEastAsia"/>
        </w:rPr>
        <w:t>2.2.2 Placement sur le marché de change……………………………………………</w:t>
      </w:r>
      <w:r w:rsidR="00184DE9">
        <w:rPr>
          <w:rFonts w:eastAsiaTheme="minorEastAsia"/>
        </w:rPr>
        <w:t>74</w:t>
      </w:r>
    </w:p>
    <w:p w:rsidR="00DB48B2" w:rsidRDefault="00826CCF" w:rsidP="00184DE9">
      <w:pPr>
        <w:pStyle w:val="TM1"/>
        <w:rPr>
          <w:rFonts w:asciiTheme="minorHAnsi" w:eastAsiaTheme="minorEastAsia" w:hAnsiTheme="minorHAnsi" w:cstheme="minorBidi"/>
          <w:noProof/>
          <w:sz w:val="22"/>
        </w:rPr>
      </w:pPr>
      <w:hyperlink w:anchor="_Toc431980050" w:history="1">
        <w:r w:rsidR="00DB48B2" w:rsidRPr="00E71823">
          <w:rPr>
            <w:rStyle w:val="Lienhypertexte"/>
            <w:rFonts w:eastAsia="Calibri"/>
            <w:noProof/>
            <w:lang w:eastAsia="en-US"/>
          </w:rPr>
          <w:t>Conclusion :</w:t>
        </w:r>
        <w:r w:rsidR="00DB48B2">
          <w:rPr>
            <w:noProof/>
            <w:webHidden/>
          </w:rPr>
          <w:tab/>
        </w:r>
        <w:r w:rsidR="00184DE9">
          <w:rPr>
            <w:noProof/>
            <w:webHidden/>
          </w:rPr>
          <w:t>75</w:t>
        </w:r>
      </w:hyperlink>
    </w:p>
    <w:p w:rsidR="00DB48B2" w:rsidRDefault="00826CCF" w:rsidP="00184DE9">
      <w:pPr>
        <w:pStyle w:val="TM1"/>
        <w:rPr>
          <w:rFonts w:asciiTheme="minorHAnsi" w:eastAsiaTheme="minorEastAsia" w:hAnsiTheme="minorHAnsi" w:cstheme="minorBidi"/>
          <w:noProof/>
          <w:sz w:val="22"/>
        </w:rPr>
      </w:pPr>
      <w:hyperlink w:anchor="_Toc431980051" w:history="1">
        <w:r w:rsidR="00DB48B2" w:rsidRPr="00E71823">
          <w:rPr>
            <w:rStyle w:val="Lienhypertexte"/>
            <w:noProof/>
          </w:rPr>
          <w:t>Conclusion générale</w:t>
        </w:r>
        <w:r w:rsidR="00DB48B2">
          <w:rPr>
            <w:noProof/>
            <w:webHidden/>
          </w:rPr>
          <w:tab/>
        </w:r>
        <w:r w:rsidR="00375DC2">
          <w:rPr>
            <w:noProof/>
            <w:webHidden/>
          </w:rPr>
          <w:fldChar w:fldCharType="begin"/>
        </w:r>
        <w:r w:rsidR="00DB48B2">
          <w:rPr>
            <w:noProof/>
            <w:webHidden/>
          </w:rPr>
          <w:instrText xml:space="preserve"> PAGEREF _Toc431980051 \h </w:instrText>
        </w:r>
        <w:r w:rsidR="00375DC2">
          <w:rPr>
            <w:noProof/>
            <w:webHidden/>
          </w:rPr>
        </w:r>
        <w:r w:rsidR="00375DC2">
          <w:rPr>
            <w:noProof/>
            <w:webHidden/>
          </w:rPr>
          <w:fldChar w:fldCharType="separate"/>
        </w:r>
        <w:r w:rsidR="00593D6A">
          <w:rPr>
            <w:noProof/>
            <w:webHidden/>
          </w:rPr>
          <w:t>7</w:t>
        </w:r>
        <w:r w:rsidR="00184DE9">
          <w:rPr>
            <w:noProof/>
            <w:webHidden/>
          </w:rPr>
          <w:t>7</w:t>
        </w:r>
        <w:r w:rsidR="00375DC2">
          <w:rPr>
            <w:noProof/>
            <w:webHidden/>
          </w:rPr>
          <w:fldChar w:fldCharType="end"/>
        </w:r>
      </w:hyperlink>
    </w:p>
    <w:p w:rsidR="00F95626" w:rsidRDefault="00375DC2" w:rsidP="00184DE9">
      <w:pPr>
        <w:ind w:firstLine="0"/>
        <w:rPr>
          <w:rFonts w:asciiTheme="majorBidi" w:hAnsiTheme="majorBidi" w:cstheme="majorBidi"/>
          <w:szCs w:val="24"/>
        </w:rPr>
      </w:pPr>
      <w:r w:rsidRPr="00C161AE">
        <w:rPr>
          <w:b/>
        </w:rPr>
        <w:fldChar w:fldCharType="end"/>
      </w:r>
      <w:r w:rsidR="00F95626">
        <w:rPr>
          <w:rFonts w:asciiTheme="majorBidi" w:hAnsiTheme="majorBidi" w:cstheme="majorBidi"/>
          <w:szCs w:val="24"/>
        </w:rPr>
        <w:t>Liste des graphes……………………………………………………………………………8</w:t>
      </w:r>
      <w:r w:rsidR="00184DE9">
        <w:rPr>
          <w:rFonts w:asciiTheme="majorBidi" w:hAnsiTheme="majorBidi" w:cstheme="majorBidi"/>
          <w:szCs w:val="24"/>
        </w:rPr>
        <w:t>9</w:t>
      </w:r>
    </w:p>
    <w:p w:rsidR="00F95626" w:rsidRDefault="00F95626" w:rsidP="00184DE9">
      <w:pPr>
        <w:ind w:firstLine="0"/>
        <w:rPr>
          <w:rFonts w:asciiTheme="majorBidi" w:hAnsiTheme="majorBidi" w:cstheme="majorBidi"/>
          <w:szCs w:val="24"/>
        </w:rPr>
      </w:pPr>
      <w:r>
        <w:rPr>
          <w:rFonts w:asciiTheme="majorBidi" w:hAnsiTheme="majorBidi" w:cstheme="majorBidi"/>
          <w:szCs w:val="24"/>
        </w:rPr>
        <w:t>Liste des tableaux</w:t>
      </w:r>
      <w:proofErr w:type="gramStart"/>
      <w:r>
        <w:rPr>
          <w:rFonts w:asciiTheme="majorBidi" w:hAnsiTheme="majorBidi" w:cstheme="majorBidi"/>
          <w:szCs w:val="24"/>
        </w:rPr>
        <w:t>……………………………………………………………….…………..</w:t>
      </w:r>
      <w:proofErr w:type="gramEnd"/>
      <w:r w:rsidR="00184DE9">
        <w:rPr>
          <w:rFonts w:asciiTheme="majorBidi" w:hAnsiTheme="majorBidi" w:cstheme="majorBidi"/>
          <w:szCs w:val="24"/>
        </w:rPr>
        <w:t>90</w:t>
      </w:r>
    </w:p>
    <w:p w:rsidR="00F95626" w:rsidRDefault="00F95626" w:rsidP="00184DE9">
      <w:pPr>
        <w:ind w:firstLine="0"/>
        <w:rPr>
          <w:rFonts w:asciiTheme="majorBidi" w:hAnsiTheme="majorBidi" w:cstheme="majorBidi"/>
          <w:szCs w:val="24"/>
        </w:rPr>
      </w:pPr>
      <w:r>
        <w:rPr>
          <w:rFonts w:asciiTheme="majorBidi" w:hAnsiTheme="majorBidi" w:cstheme="majorBidi"/>
          <w:szCs w:val="24"/>
        </w:rPr>
        <w:t>Liste des annexes</w:t>
      </w:r>
      <w:proofErr w:type="gramStart"/>
      <w:r>
        <w:rPr>
          <w:rFonts w:asciiTheme="majorBidi" w:hAnsiTheme="majorBidi" w:cstheme="majorBidi"/>
          <w:szCs w:val="24"/>
        </w:rPr>
        <w:t>………………………………………………………………….………...</w:t>
      </w:r>
      <w:proofErr w:type="gramEnd"/>
      <w:r w:rsidR="00184DE9">
        <w:rPr>
          <w:rFonts w:asciiTheme="majorBidi" w:hAnsiTheme="majorBidi" w:cstheme="majorBidi"/>
          <w:szCs w:val="24"/>
        </w:rPr>
        <w:t>91</w:t>
      </w:r>
    </w:p>
    <w:p w:rsidR="00F95626" w:rsidRDefault="00F95626" w:rsidP="00184DE9">
      <w:pPr>
        <w:ind w:firstLine="0"/>
        <w:rPr>
          <w:rFonts w:asciiTheme="majorBidi" w:hAnsiTheme="majorBidi" w:cstheme="majorBidi"/>
          <w:szCs w:val="24"/>
        </w:rPr>
      </w:pPr>
      <w:r>
        <w:rPr>
          <w:rFonts w:asciiTheme="majorBidi" w:hAnsiTheme="majorBidi" w:cstheme="majorBidi"/>
          <w:szCs w:val="24"/>
        </w:rPr>
        <w:t xml:space="preserve"> Bibliographie………………………………………………………………………………..</w:t>
      </w:r>
      <w:r w:rsidR="00184DE9">
        <w:rPr>
          <w:rFonts w:asciiTheme="majorBidi" w:hAnsiTheme="majorBidi" w:cstheme="majorBidi"/>
          <w:szCs w:val="24"/>
        </w:rPr>
        <w:t>92</w:t>
      </w:r>
    </w:p>
    <w:p w:rsidR="00EC2073" w:rsidRPr="006C2BE8" w:rsidRDefault="00EC2073" w:rsidP="00A26AC9">
      <w:pPr>
        <w:spacing w:before="0" w:after="200"/>
        <w:ind w:firstLine="0"/>
        <w:contextualSpacing/>
        <w:rPr>
          <w:rFonts w:asciiTheme="majorBidi" w:hAnsiTheme="majorBidi" w:cstheme="majorBidi"/>
          <w:b/>
          <w:bCs/>
          <w:sz w:val="28"/>
          <w:szCs w:val="28"/>
        </w:rPr>
      </w:pPr>
    </w:p>
    <w:sectPr w:rsidR="00EC2073" w:rsidRPr="006C2BE8" w:rsidSect="00176706">
      <w:headerReference w:type="default" r:id="rId79"/>
      <w:footerReference w:type="default" r:id="rId8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483C" w:rsidRDefault="005C483C" w:rsidP="001D5E53">
      <w:pPr>
        <w:spacing w:before="0" w:after="0" w:line="240" w:lineRule="auto"/>
      </w:pPr>
      <w:r>
        <w:separator/>
      </w:r>
    </w:p>
  </w:endnote>
  <w:endnote w:type="continuationSeparator" w:id="0">
    <w:p w:rsidR="005C483C" w:rsidRDefault="005C483C" w:rsidP="001D5E5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MonotypeCorsiva,Italic">
    <w:panose1 w:val="00000000000000000000"/>
    <w:charset w:val="00"/>
    <w:family w:val="auto"/>
    <w:notTrueType/>
    <w:pitch w:val="default"/>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Arial Unicode MS"/>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Default="00826CCF">
    <w:pPr>
      <w:pStyle w:val="Pieddepage"/>
      <w:jc w:val="right"/>
    </w:pPr>
  </w:p>
  <w:p w:rsidR="00826CCF" w:rsidRDefault="00826CCF">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Default="00826CCF" w:rsidP="007F0DAB">
    <w:pPr>
      <w:pStyle w:val="Pieddepage"/>
      <w:jc w:val="right"/>
    </w:pPr>
    <w:r>
      <w:t>76</w:t>
    </w:r>
  </w:p>
  <w:p w:rsidR="00826CCF" w:rsidRDefault="00826CCF">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Default="00826CCF" w:rsidP="000A21A3">
    <w:pPr>
      <w:pStyle w:val="Pieddepage"/>
      <w:jc w:val="right"/>
    </w:pPr>
    <w:r>
      <w:t>77</w:t>
    </w:r>
  </w:p>
  <w:p w:rsidR="00826CCF" w:rsidRDefault="00826CCF">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Default="00826CCF" w:rsidP="00207547">
    <w:pPr>
      <w:pStyle w:val="Pieddepage"/>
      <w:jc w:val="right"/>
    </w:pPr>
    <w:r>
      <w:t>78</w:t>
    </w:r>
  </w:p>
  <w:p w:rsidR="00826CCF" w:rsidRDefault="00826CCF">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Default="00826CCF" w:rsidP="00207547">
    <w:pPr>
      <w:pStyle w:val="Pieddepage"/>
      <w:jc w:val="right"/>
    </w:pPr>
    <w:r>
      <w:t>79</w:t>
    </w:r>
  </w:p>
  <w:p w:rsidR="00826CCF" w:rsidRDefault="00826CCF">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Default="00826CCF" w:rsidP="00207547">
    <w:pPr>
      <w:pStyle w:val="Pieddepage"/>
      <w:jc w:val="right"/>
    </w:pPr>
    <w:r>
      <w:t>80</w:t>
    </w:r>
  </w:p>
  <w:p w:rsidR="00826CCF" w:rsidRDefault="00826CCF">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91867"/>
      <w:docPartObj>
        <w:docPartGallery w:val="Page Numbers (Bottom of Page)"/>
        <w:docPartUnique/>
      </w:docPartObj>
    </w:sdtPr>
    <w:sdtContent>
      <w:p w:rsidR="00826CCF" w:rsidRDefault="00826CCF">
        <w:pPr>
          <w:pStyle w:val="Pieddepage"/>
          <w:jc w:val="right"/>
        </w:pPr>
        <w:r>
          <w:fldChar w:fldCharType="begin"/>
        </w:r>
        <w:r>
          <w:instrText xml:space="preserve"> PAGE   \* MERGEFORMAT </w:instrText>
        </w:r>
        <w:r>
          <w:fldChar w:fldCharType="separate"/>
        </w:r>
        <w:r w:rsidR="00184DE9">
          <w:rPr>
            <w:noProof/>
          </w:rPr>
          <w:t>81</w:t>
        </w:r>
        <w:r>
          <w:rPr>
            <w:noProof/>
          </w:rPr>
          <w:fldChar w:fldCharType="end"/>
        </w:r>
      </w:p>
    </w:sdtContent>
  </w:sdt>
  <w:p w:rsidR="00826CCF" w:rsidRDefault="00826CCF">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91868"/>
      <w:docPartObj>
        <w:docPartGallery w:val="Page Numbers (Bottom of Page)"/>
        <w:docPartUnique/>
      </w:docPartObj>
    </w:sdtPr>
    <w:sdtContent>
      <w:p w:rsidR="00826CCF" w:rsidRDefault="00826CCF" w:rsidP="00DB48B2">
        <w:pPr>
          <w:pStyle w:val="Pieddepage"/>
          <w:jc w:val="right"/>
        </w:pPr>
        <w:r>
          <w:t>82</w:t>
        </w:r>
      </w:p>
    </w:sdtContent>
  </w:sdt>
  <w:p w:rsidR="00826CCF" w:rsidRDefault="00826CCF">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55918"/>
      <w:docPartObj>
        <w:docPartGallery w:val="Page Numbers (Bottom of Page)"/>
        <w:docPartUnique/>
      </w:docPartObj>
    </w:sdtPr>
    <w:sdtContent>
      <w:p w:rsidR="00826CCF" w:rsidRDefault="00826CCF" w:rsidP="00DB48B2">
        <w:pPr>
          <w:pStyle w:val="Pieddepage"/>
          <w:jc w:val="right"/>
        </w:pPr>
        <w:r>
          <w:t>83</w:t>
        </w:r>
      </w:p>
    </w:sdtContent>
  </w:sdt>
  <w:p w:rsidR="00826CCF" w:rsidRDefault="00826CCF" w:rsidP="00A26AC9">
    <w:pPr>
      <w:pStyle w:val="Pieddepage"/>
      <w:jc w:val="right"/>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06563"/>
      <w:docPartObj>
        <w:docPartGallery w:val="Page Numbers (Bottom of Page)"/>
        <w:docPartUnique/>
      </w:docPartObj>
    </w:sdtPr>
    <w:sdtContent>
      <w:p w:rsidR="00826CCF" w:rsidRDefault="00826CCF" w:rsidP="00A03CE9">
        <w:pPr>
          <w:pStyle w:val="Pieddepage"/>
          <w:jc w:val="right"/>
        </w:pPr>
        <w:r>
          <w:t>84</w:t>
        </w:r>
      </w:p>
    </w:sdtContent>
  </w:sdt>
  <w:p w:rsidR="00826CCF" w:rsidRDefault="00826CCF" w:rsidP="00A03CE9">
    <w:pPr>
      <w:pStyle w:val="Pieddepage"/>
      <w:jc w:val="right"/>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06577"/>
      <w:docPartObj>
        <w:docPartGallery w:val="Page Numbers (Bottom of Page)"/>
        <w:docPartUnique/>
      </w:docPartObj>
    </w:sdtPr>
    <w:sdtContent>
      <w:p w:rsidR="00826CCF" w:rsidRDefault="00826CCF" w:rsidP="00A03CE9">
        <w:pPr>
          <w:pStyle w:val="Pieddepage"/>
          <w:jc w:val="right"/>
        </w:pPr>
        <w:r>
          <w:t>85</w:t>
        </w:r>
      </w:p>
    </w:sdtContent>
  </w:sdt>
  <w:p w:rsidR="00826CCF" w:rsidRDefault="00826CCF" w:rsidP="00A03CE9">
    <w:pPr>
      <w:pStyle w:val="Pieddepage"/>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Default="00826CCF">
    <w:pPr>
      <w:pStyle w:val="Pieddepage"/>
      <w:jc w:val="right"/>
    </w:pPr>
  </w:p>
  <w:p w:rsidR="00826CCF" w:rsidRDefault="00826CCF">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91874"/>
      <w:docPartObj>
        <w:docPartGallery w:val="Page Numbers (Bottom of Page)"/>
        <w:docPartUnique/>
      </w:docPartObj>
    </w:sdtPr>
    <w:sdtContent>
      <w:p w:rsidR="00826CCF" w:rsidRDefault="00826CCF" w:rsidP="00A03CE9">
        <w:pPr>
          <w:pStyle w:val="Pieddepage"/>
          <w:jc w:val="right"/>
        </w:pPr>
        <w:r>
          <w:fldChar w:fldCharType="begin"/>
        </w:r>
        <w:r>
          <w:instrText xml:space="preserve"> PAGE   \* MERGEFORMAT </w:instrText>
        </w:r>
        <w:r>
          <w:fldChar w:fldCharType="separate"/>
        </w:r>
        <w:r w:rsidR="00184DE9">
          <w:rPr>
            <w:noProof/>
          </w:rPr>
          <w:t>87</w:t>
        </w:r>
        <w:r>
          <w:rPr>
            <w:noProof/>
          </w:rPr>
          <w:fldChar w:fldCharType="end"/>
        </w:r>
      </w:p>
    </w:sdtContent>
  </w:sdt>
  <w:p w:rsidR="00826CCF" w:rsidRDefault="00826CCF" w:rsidP="00A26AC9">
    <w:pPr>
      <w:pStyle w:val="Pieddepage"/>
      <w:jc w:val="right"/>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Default="00826CCF" w:rsidP="00A26AC9">
    <w:pPr>
      <w:pStyle w:val="Pieddepage"/>
      <w:jc w:val="right"/>
    </w:pPr>
  </w:p>
  <w:p w:rsidR="00826CCF" w:rsidRDefault="00826CCF" w:rsidP="00A26AC9">
    <w:pPr>
      <w:pStyle w:val="Pieddepage"/>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55912"/>
      <w:docPartObj>
        <w:docPartGallery w:val="Page Numbers (Bottom of Page)"/>
        <w:docPartUnique/>
      </w:docPartObj>
    </w:sdtPr>
    <w:sdtContent>
      <w:p w:rsidR="00826CCF" w:rsidRDefault="00826CCF">
        <w:pPr>
          <w:pStyle w:val="Pieddepage"/>
          <w:jc w:val="right"/>
        </w:pPr>
        <w:r>
          <w:fldChar w:fldCharType="begin"/>
        </w:r>
        <w:r>
          <w:instrText xml:space="preserve"> PAGE   \* MERGEFORMAT </w:instrText>
        </w:r>
        <w:r>
          <w:fldChar w:fldCharType="separate"/>
        </w:r>
        <w:r w:rsidR="002011B7">
          <w:rPr>
            <w:noProof/>
          </w:rPr>
          <w:t>26</w:t>
        </w:r>
        <w:r>
          <w:rPr>
            <w:noProof/>
          </w:rPr>
          <w:fldChar w:fldCharType="end"/>
        </w:r>
      </w:p>
    </w:sdtContent>
  </w:sdt>
  <w:p w:rsidR="00826CCF" w:rsidRDefault="00826CCF">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3314466"/>
      <w:docPartObj>
        <w:docPartGallery w:val="Page Numbers (Bottom of Page)"/>
        <w:docPartUnique/>
      </w:docPartObj>
    </w:sdtPr>
    <w:sdtContent>
      <w:p w:rsidR="00826CCF" w:rsidRDefault="00826CCF" w:rsidP="00304292">
        <w:pPr>
          <w:pStyle w:val="Pieddepage"/>
          <w:jc w:val="right"/>
        </w:pPr>
        <w:r>
          <w:t>70</w:t>
        </w:r>
      </w:p>
    </w:sdtContent>
  </w:sdt>
  <w:p w:rsidR="00826CCF" w:rsidRDefault="00826CCF" w:rsidP="00304292">
    <w:pPr>
      <w:pStyle w:val="Pieddepage"/>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55914"/>
      <w:docPartObj>
        <w:docPartGallery w:val="Page Numbers (Bottom of Page)"/>
        <w:docPartUnique/>
      </w:docPartObj>
    </w:sdtPr>
    <w:sdtContent>
      <w:p w:rsidR="00826CCF" w:rsidRDefault="00826CCF">
        <w:pPr>
          <w:pStyle w:val="Pieddepage"/>
          <w:jc w:val="right"/>
        </w:pPr>
        <w:r>
          <w:fldChar w:fldCharType="begin"/>
        </w:r>
        <w:r>
          <w:instrText xml:space="preserve"> PAGE   \* MERGEFORMAT </w:instrText>
        </w:r>
        <w:r>
          <w:fldChar w:fldCharType="separate"/>
        </w:r>
        <w:r w:rsidR="00184DE9">
          <w:rPr>
            <w:noProof/>
          </w:rPr>
          <w:t>71</w:t>
        </w:r>
        <w:r>
          <w:rPr>
            <w:noProof/>
          </w:rPr>
          <w:fldChar w:fldCharType="end"/>
        </w:r>
      </w:p>
    </w:sdtContent>
  </w:sdt>
  <w:p w:rsidR="00826CCF" w:rsidRDefault="00826CCF">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55915"/>
      <w:docPartObj>
        <w:docPartGallery w:val="Page Numbers (Bottom of Page)"/>
        <w:docPartUnique/>
      </w:docPartObj>
    </w:sdtPr>
    <w:sdtContent>
      <w:p w:rsidR="00826CCF" w:rsidRDefault="00826CCF" w:rsidP="007F0DAB">
        <w:pPr>
          <w:pStyle w:val="Pieddepage"/>
          <w:jc w:val="right"/>
        </w:pPr>
        <w:r>
          <w:t>72</w:t>
        </w:r>
      </w:p>
    </w:sdtContent>
  </w:sdt>
  <w:p w:rsidR="00826CCF" w:rsidRDefault="00826CCF">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55916"/>
      <w:docPartObj>
        <w:docPartGallery w:val="Page Numbers (Bottom of Page)"/>
        <w:docPartUnique/>
      </w:docPartObj>
    </w:sdtPr>
    <w:sdtContent>
      <w:p w:rsidR="00826CCF" w:rsidRDefault="00826CCF" w:rsidP="007F0DAB">
        <w:pPr>
          <w:pStyle w:val="Pieddepage"/>
          <w:jc w:val="right"/>
        </w:pPr>
        <w:r>
          <w:t>73</w:t>
        </w:r>
      </w:p>
    </w:sdtContent>
  </w:sdt>
  <w:p w:rsidR="00826CCF" w:rsidRDefault="00826CCF">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55917"/>
      <w:docPartObj>
        <w:docPartGallery w:val="Page Numbers (Bottom of Page)"/>
        <w:docPartUnique/>
      </w:docPartObj>
    </w:sdtPr>
    <w:sdtContent>
      <w:p w:rsidR="00826CCF" w:rsidRDefault="00826CCF" w:rsidP="007F0DAB">
        <w:pPr>
          <w:pStyle w:val="Pieddepage"/>
          <w:jc w:val="right"/>
        </w:pPr>
        <w:r>
          <w:t>74</w:t>
        </w:r>
      </w:p>
    </w:sdtContent>
  </w:sdt>
  <w:p w:rsidR="00826CCF" w:rsidRDefault="00826CCF">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Default="00826CCF" w:rsidP="001660CA">
    <w:pPr>
      <w:pStyle w:val="Pieddepage"/>
      <w:jc w:val="right"/>
    </w:pPr>
    <w:r>
      <w:t>75</w:t>
    </w:r>
  </w:p>
  <w:p w:rsidR="00826CCF" w:rsidRDefault="00826CCF">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483C" w:rsidRDefault="005C483C" w:rsidP="001D5E53">
      <w:pPr>
        <w:spacing w:before="0" w:after="0" w:line="240" w:lineRule="auto"/>
      </w:pPr>
      <w:r>
        <w:separator/>
      </w:r>
    </w:p>
  </w:footnote>
  <w:footnote w:type="continuationSeparator" w:id="0">
    <w:p w:rsidR="005C483C" w:rsidRDefault="005C483C" w:rsidP="001D5E53">
      <w:pPr>
        <w:spacing w:before="0" w:after="0" w:line="240" w:lineRule="auto"/>
      </w:pPr>
      <w:r>
        <w:continuationSeparator/>
      </w:r>
    </w:p>
  </w:footnote>
  <w:footnote w:id="1">
    <w:p w:rsidR="00826CCF" w:rsidRDefault="00826CCF">
      <w:pPr>
        <w:pStyle w:val="Notedebasdepage"/>
      </w:pPr>
      <w:r>
        <w:rPr>
          <w:rStyle w:val="Appelnotedebasdep"/>
        </w:rPr>
        <w:footnoteRef/>
      </w:r>
      <w:r w:rsidRPr="00D9003E">
        <w:t>http://www.comptanat.fr/keynes/k4.htm</w:t>
      </w:r>
    </w:p>
  </w:footnote>
  <w:footnote w:id="2">
    <w:p w:rsidR="00826CCF" w:rsidRDefault="00826CCF">
      <w:pPr>
        <w:pStyle w:val="Notedebasdepage"/>
      </w:pPr>
      <w:r>
        <w:rPr>
          <w:rStyle w:val="Appelnotedebasdep"/>
        </w:rPr>
        <w:footnoteRef/>
      </w:r>
      <w:r w:rsidRPr="00225E5C">
        <w:t>http://www.algerie-dz.com/forums//showthread.php?t=356396</w:t>
      </w:r>
    </w:p>
  </w:footnote>
  <w:footnote w:id="3">
    <w:p w:rsidR="00826CCF" w:rsidRDefault="00826CCF" w:rsidP="007B0B28">
      <w:pPr>
        <w:pStyle w:val="Sansinterligne"/>
      </w:pPr>
      <w:r w:rsidRPr="006473D9">
        <w:rPr>
          <w:rStyle w:val="Appelnotedebasdep"/>
          <w:rFonts w:cs="Times New Roman"/>
          <w:b/>
          <w:bCs/>
          <w:szCs w:val="20"/>
        </w:rPr>
        <w:footnoteRef/>
      </w:r>
      <w:r w:rsidRPr="003642C2">
        <w:t xml:space="preserve"> M A, Etude analytique d'un financement bancaire "Crédit d'investissement" cas CNEP/BANQUE, </w:t>
      </w:r>
      <w:r>
        <w:t>M</w:t>
      </w:r>
      <w:r w:rsidRPr="003642C2">
        <w:t>émoire de licence, U</w:t>
      </w:r>
      <w:r>
        <w:t>niversité Mouloud Mammeri Tizi O</w:t>
      </w:r>
      <w:r w:rsidRPr="003642C2">
        <w:t>uzou,</w:t>
      </w:r>
      <w:r>
        <w:t xml:space="preserve"> FSEGSC,</w:t>
      </w:r>
      <w:r w:rsidRPr="006473D9">
        <w:t> </w:t>
      </w:r>
      <w:r w:rsidRPr="003642C2">
        <w:t>2008</w:t>
      </w:r>
    </w:p>
  </w:footnote>
  <w:footnote w:id="4">
    <w:p w:rsidR="00826CCF" w:rsidRDefault="00826CCF" w:rsidP="007B0A18">
      <w:pPr>
        <w:pStyle w:val="Notedebasdepage"/>
      </w:pPr>
      <w:r w:rsidRPr="00AA12F4">
        <w:rPr>
          <w:rStyle w:val="Appelnotedebasdep"/>
          <w:rFonts w:cs="Times New Roman"/>
        </w:rPr>
        <w:footnoteRef/>
      </w:r>
      <w:r w:rsidRPr="00AA12F4">
        <w:rPr>
          <w:rFonts w:cs="Times New Roman"/>
        </w:rPr>
        <w:t>ZOURDANI</w:t>
      </w:r>
      <w:r>
        <w:rPr>
          <w:rFonts w:cs="Times New Roman"/>
        </w:rPr>
        <w:t>.</w:t>
      </w:r>
      <w:r w:rsidRPr="00AA12F4">
        <w:rPr>
          <w:rFonts w:cs="Times New Roman"/>
        </w:rPr>
        <w:t>S</w:t>
      </w:r>
      <w:r>
        <w:rPr>
          <w:rFonts w:cs="Times New Roman"/>
        </w:rPr>
        <w:t>, L</w:t>
      </w:r>
      <w:r w:rsidRPr="00AA12F4">
        <w:rPr>
          <w:rFonts w:cs="Times New Roman"/>
        </w:rPr>
        <w:t xml:space="preserve">e financement du commerce extérieur en Algérie, cas (BNA), </w:t>
      </w:r>
      <w:r>
        <w:rPr>
          <w:rFonts w:cs="Times New Roman"/>
        </w:rPr>
        <w:t>Mémoire de Magister en Sciences Economiques, Tizi Ouzou, université Mouloud MAMMERI,</w:t>
      </w:r>
      <w:r w:rsidRPr="00AA12F4">
        <w:rPr>
          <w:rFonts w:cs="Times New Roman"/>
        </w:rPr>
        <w:t xml:space="preserve"> </w:t>
      </w:r>
      <w:r>
        <w:rPr>
          <w:rFonts w:cs="Times New Roman"/>
        </w:rPr>
        <w:t xml:space="preserve">FSEGSC, 2012 </w:t>
      </w:r>
      <w:proofErr w:type="gramStart"/>
      <w:r>
        <w:rPr>
          <w:rFonts w:cs="Times New Roman"/>
        </w:rPr>
        <w:t>page</w:t>
      </w:r>
      <w:proofErr w:type="gramEnd"/>
      <w:r>
        <w:rPr>
          <w:rFonts w:cs="Times New Roman"/>
        </w:rPr>
        <w:t xml:space="preserve"> 06-10</w:t>
      </w:r>
    </w:p>
  </w:footnote>
  <w:footnote w:id="5">
    <w:p w:rsidR="00826CCF" w:rsidRDefault="00826CCF">
      <w:pPr>
        <w:pStyle w:val="Notedebasdepage"/>
      </w:pPr>
      <w:r>
        <w:rPr>
          <w:rStyle w:val="Appelnotedebasdep"/>
        </w:rPr>
        <w:footnoteRef/>
      </w:r>
      <w:r>
        <w:t xml:space="preserve"> NAAS</w:t>
      </w:r>
    </w:p>
  </w:footnote>
  <w:footnote w:id="6">
    <w:p w:rsidR="00826CCF" w:rsidRDefault="00826CCF">
      <w:pPr>
        <w:pStyle w:val="Notedebasdepage"/>
      </w:pPr>
      <w:r>
        <w:rPr>
          <w:rStyle w:val="Appelnotedebasdep"/>
        </w:rPr>
        <w:footnoteRef/>
      </w:r>
      <w:r>
        <w:t xml:space="preserve"> NAAS</w:t>
      </w:r>
    </w:p>
  </w:footnote>
  <w:footnote w:id="7">
    <w:p w:rsidR="00826CCF" w:rsidRDefault="00826CCF">
      <w:pPr>
        <w:pStyle w:val="Notedebasdepage"/>
      </w:pPr>
      <w:r>
        <w:rPr>
          <w:rStyle w:val="Appelnotedebasdep"/>
        </w:rPr>
        <w:footnoteRef/>
      </w:r>
      <w:r>
        <w:t xml:space="preserve"> NAAS</w:t>
      </w:r>
    </w:p>
  </w:footnote>
  <w:footnote w:id="8">
    <w:p w:rsidR="00826CCF" w:rsidRDefault="00826CCF" w:rsidP="001D5E53">
      <w:pPr>
        <w:pStyle w:val="Notedebasdepage"/>
      </w:pPr>
      <w:r w:rsidRPr="006473D9">
        <w:rPr>
          <w:rStyle w:val="Appelnotedebasdep"/>
          <w:rFonts w:cs="Times New Roman"/>
        </w:rPr>
        <w:footnoteRef/>
      </w:r>
      <w:r w:rsidRPr="003642C2">
        <w:rPr>
          <w:rFonts w:cs="Times New Roman"/>
        </w:rPr>
        <w:t xml:space="preserve"> Article 15 de la loi 86-12 du 19/08/1986, relative au régime des banques et du crédit</w:t>
      </w:r>
    </w:p>
  </w:footnote>
  <w:footnote w:id="9">
    <w:p w:rsidR="00826CCF" w:rsidRDefault="00826CCF" w:rsidP="00807890">
      <w:pPr>
        <w:pStyle w:val="Notedebasdepage"/>
        <w:ind w:firstLine="0"/>
      </w:pPr>
      <w:r>
        <w:rPr>
          <w:rStyle w:val="Appelnotedebasdep"/>
        </w:rPr>
        <w:footnoteRef/>
      </w:r>
      <w:r>
        <w:t xml:space="preserve"> NASS.A, Le système bancaire algérien : de la décolonisation à l’économie de marché, INAS, Paris, 2003, page 155. </w:t>
      </w:r>
    </w:p>
  </w:footnote>
  <w:footnote w:id="10">
    <w:p w:rsidR="00826CCF" w:rsidRDefault="00826CCF" w:rsidP="00807890">
      <w:pPr>
        <w:pStyle w:val="Notedebasdepage"/>
        <w:ind w:firstLine="0"/>
      </w:pPr>
      <w:r w:rsidRPr="00183FEF">
        <w:rPr>
          <w:rStyle w:val="Appelnotedebasdep"/>
          <w:rFonts w:cs="Times New Roman"/>
        </w:rPr>
        <w:footnoteRef/>
      </w:r>
      <w:r w:rsidRPr="00183FEF">
        <w:rPr>
          <w:rFonts w:cs="Times New Roman"/>
        </w:rPr>
        <w:t xml:space="preserve"> BENISSAD</w:t>
      </w:r>
      <w:r>
        <w:rPr>
          <w:rFonts w:cs="Times New Roman"/>
        </w:rPr>
        <w:t>.H, L</w:t>
      </w:r>
      <w:r w:rsidRPr="00183FEF">
        <w:rPr>
          <w:rFonts w:cs="Times New Roman"/>
        </w:rPr>
        <w:t>a réforme économique en Algérie, OPU, 1991, pages 129-130</w:t>
      </w:r>
      <w:r>
        <w:rPr>
          <w:rFonts w:cs="Times New Roman"/>
        </w:rPr>
        <w:t xml:space="preserve">. </w:t>
      </w:r>
    </w:p>
  </w:footnote>
  <w:footnote w:id="11">
    <w:p w:rsidR="00826CCF" w:rsidRDefault="00826CCF" w:rsidP="00807890">
      <w:pPr>
        <w:pStyle w:val="Notedebasdepage"/>
      </w:pPr>
      <w:r w:rsidRPr="00183FEF">
        <w:rPr>
          <w:rStyle w:val="Appelnotedebasdep"/>
          <w:rFonts w:cs="Times New Roman"/>
        </w:rPr>
        <w:footnoteRef/>
      </w:r>
      <w:r w:rsidRPr="003642C2">
        <w:rPr>
          <w:rFonts w:cs="Times New Roman"/>
          <w:lang w:val="nl-NL"/>
        </w:rPr>
        <w:t>NAAS</w:t>
      </w:r>
      <w:r>
        <w:rPr>
          <w:rFonts w:cs="Times New Roman"/>
          <w:lang w:val="nl-NL"/>
        </w:rPr>
        <w:t>.</w:t>
      </w:r>
      <w:r w:rsidRPr="003642C2">
        <w:rPr>
          <w:rFonts w:cs="Times New Roman"/>
          <w:lang w:val="nl-NL"/>
        </w:rPr>
        <w:t xml:space="preserve">A, Op </w:t>
      </w:r>
      <w:proofErr w:type="spellStart"/>
      <w:r w:rsidRPr="003642C2">
        <w:rPr>
          <w:rFonts w:cs="Times New Roman"/>
          <w:lang w:val="nl-NL"/>
        </w:rPr>
        <w:t>Cit</w:t>
      </w:r>
      <w:proofErr w:type="spellEnd"/>
      <w:r w:rsidRPr="003642C2">
        <w:rPr>
          <w:rFonts w:cs="Times New Roman"/>
          <w:lang w:val="nl-NL"/>
        </w:rPr>
        <w:t>, page 121</w:t>
      </w:r>
    </w:p>
  </w:footnote>
  <w:footnote w:id="12">
    <w:p w:rsidR="00826CCF" w:rsidRDefault="00826CCF" w:rsidP="00807890">
      <w:pPr>
        <w:pStyle w:val="Notedebasdepage"/>
      </w:pPr>
      <w:r w:rsidRPr="00183FEF">
        <w:rPr>
          <w:rStyle w:val="Appelnotedebasdep"/>
          <w:rFonts w:cs="Times New Roman"/>
        </w:rPr>
        <w:footnoteRef/>
      </w:r>
      <w:r w:rsidRPr="003642C2">
        <w:rPr>
          <w:rFonts w:cs="Times New Roman"/>
          <w:lang w:val="nl-NL"/>
        </w:rPr>
        <w:t>BENISSAD</w:t>
      </w:r>
      <w:r>
        <w:rPr>
          <w:rFonts w:cs="Times New Roman"/>
          <w:lang w:val="nl-NL"/>
        </w:rPr>
        <w:t>.</w:t>
      </w:r>
      <w:r w:rsidRPr="003642C2">
        <w:rPr>
          <w:rFonts w:cs="Times New Roman"/>
          <w:lang w:val="nl-NL"/>
        </w:rPr>
        <w:t xml:space="preserve">H, Op </w:t>
      </w:r>
      <w:proofErr w:type="spellStart"/>
      <w:r w:rsidRPr="003642C2">
        <w:rPr>
          <w:rFonts w:cs="Times New Roman"/>
          <w:lang w:val="nl-NL"/>
        </w:rPr>
        <w:t>Cit</w:t>
      </w:r>
      <w:proofErr w:type="spellEnd"/>
      <w:r w:rsidRPr="003642C2">
        <w:rPr>
          <w:rFonts w:cs="Times New Roman"/>
          <w:lang w:val="nl-NL"/>
        </w:rPr>
        <w:t>, page 125</w:t>
      </w:r>
    </w:p>
  </w:footnote>
  <w:footnote w:id="13">
    <w:p w:rsidR="00826CCF" w:rsidRDefault="00826CCF">
      <w:pPr>
        <w:pStyle w:val="Notedebasdepage"/>
      </w:pPr>
      <w:r>
        <w:rPr>
          <w:rStyle w:val="Appelnotedebasdep"/>
        </w:rPr>
        <w:footnoteRef/>
      </w:r>
      <w:r>
        <w:t xml:space="preserve"> Article 12 de la loi 90/10</w:t>
      </w:r>
    </w:p>
  </w:footnote>
  <w:footnote w:id="14">
    <w:p w:rsidR="00826CCF" w:rsidRDefault="00826CCF">
      <w:pPr>
        <w:pStyle w:val="Notedebasdepage"/>
      </w:pPr>
      <w:r>
        <w:rPr>
          <w:rStyle w:val="Appelnotedebasdep"/>
        </w:rPr>
        <w:footnoteRef/>
      </w:r>
      <w:r>
        <w:t xml:space="preserve"> </w:t>
      </w:r>
      <w:hyperlink r:id="rId1" w:history="1">
        <w:r w:rsidRPr="00D62DDF">
          <w:rPr>
            <w:rStyle w:val="Lienhypertexte"/>
            <w:rFonts w:ascii="Segoe UI" w:eastAsiaTheme="minorHAnsi" w:hAnsi="Segoe UI" w:cs="Segoe UI"/>
            <w:lang w:eastAsia="en-US"/>
          </w:rPr>
          <w:t>http://www.lnr-dz.com/index.php?page=details&amp;id=23117</w:t>
        </w:r>
      </w:hyperlink>
      <w:r>
        <w:rPr>
          <w:rFonts w:ascii="Segoe UI" w:eastAsiaTheme="minorHAnsi" w:hAnsi="Segoe UI" w:cs="Segoe UI"/>
          <w:color w:val="000000"/>
          <w:lang w:eastAsia="en-US"/>
        </w:rPr>
        <w:t>, consulté le 04/11/2015 à 13H02</w:t>
      </w:r>
    </w:p>
  </w:footnote>
  <w:footnote w:id="15">
    <w:p w:rsidR="00826CCF" w:rsidRDefault="00826CCF" w:rsidP="00807890">
      <w:pPr>
        <w:pStyle w:val="Notedebasdepage"/>
      </w:pPr>
      <w:r w:rsidRPr="00183FEF">
        <w:rPr>
          <w:rStyle w:val="Appelnotedebasdep"/>
          <w:rFonts w:cs="Times New Roman"/>
        </w:rPr>
        <w:footnoteRef/>
      </w:r>
      <w:r w:rsidRPr="00183FEF">
        <w:rPr>
          <w:rFonts w:cs="Times New Roman"/>
        </w:rPr>
        <w:t>MANSOURI</w:t>
      </w:r>
      <w:r>
        <w:rPr>
          <w:rFonts w:cs="Times New Roman"/>
        </w:rPr>
        <w:t>.</w:t>
      </w:r>
      <w:r w:rsidRPr="00183FEF">
        <w:rPr>
          <w:rFonts w:cs="Times New Roman"/>
        </w:rPr>
        <w:t>M,</w:t>
      </w:r>
      <w:r>
        <w:rPr>
          <w:rFonts w:cs="Times New Roman"/>
        </w:rPr>
        <w:t xml:space="preserve"> Sy</w:t>
      </w:r>
      <w:r w:rsidRPr="00183FEF">
        <w:rPr>
          <w:rFonts w:cs="Times New Roman"/>
        </w:rPr>
        <w:t>stème et pratiques bancaires en Algérie, 2005, Alger</w:t>
      </w:r>
    </w:p>
  </w:footnote>
  <w:footnote w:id="16">
    <w:p w:rsidR="00826CCF" w:rsidRDefault="00826CCF" w:rsidP="001D5E53">
      <w:pPr>
        <w:pStyle w:val="Notedebasdepage"/>
      </w:pPr>
      <w:r w:rsidRPr="00183FEF">
        <w:rPr>
          <w:rStyle w:val="Appelnotedebasdep"/>
          <w:rFonts w:cs="Times New Roman"/>
        </w:rPr>
        <w:footnoteRef/>
      </w:r>
      <w:r w:rsidRPr="00183FEF">
        <w:rPr>
          <w:rFonts w:cs="Times New Roman"/>
        </w:rPr>
        <w:t xml:space="preserve"> Article 62 de l’ordonnance n°03-11 du 26 Août 2003 </w:t>
      </w:r>
    </w:p>
  </w:footnote>
  <w:footnote w:id="17">
    <w:p w:rsidR="00826CCF" w:rsidRDefault="00826CCF" w:rsidP="00807890">
      <w:pPr>
        <w:pStyle w:val="Notedebasdepage"/>
      </w:pPr>
      <w:r w:rsidRPr="00183FEF">
        <w:rPr>
          <w:rStyle w:val="Appelnotedebasdep"/>
          <w:rFonts w:cs="Times New Roman"/>
        </w:rPr>
        <w:footnoteRef/>
      </w:r>
      <w:r w:rsidRPr="00183FEF">
        <w:rPr>
          <w:rFonts w:cs="Times New Roman"/>
        </w:rPr>
        <w:t>BENISSAD</w:t>
      </w:r>
      <w:r>
        <w:rPr>
          <w:rFonts w:cs="Times New Roman"/>
        </w:rPr>
        <w:t>.</w:t>
      </w:r>
      <w:r w:rsidRPr="00183FEF">
        <w:rPr>
          <w:rFonts w:cs="Times New Roman"/>
        </w:rPr>
        <w:t xml:space="preserve">H, Op </w:t>
      </w:r>
      <w:proofErr w:type="spellStart"/>
      <w:r w:rsidRPr="00183FEF">
        <w:rPr>
          <w:rFonts w:cs="Times New Roman"/>
        </w:rPr>
        <w:t>Cit</w:t>
      </w:r>
      <w:proofErr w:type="spellEnd"/>
      <w:r w:rsidRPr="00183FEF">
        <w:rPr>
          <w:rFonts w:cs="Times New Roman"/>
        </w:rPr>
        <w:t>, page 92</w:t>
      </w:r>
    </w:p>
  </w:footnote>
  <w:footnote w:id="18">
    <w:p w:rsidR="00826CCF" w:rsidRDefault="00826CCF" w:rsidP="00807890">
      <w:pPr>
        <w:pStyle w:val="Notedebasdepage"/>
      </w:pPr>
      <w:r w:rsidRPr="00183FEF">
        <w:rPr>
          <w:rStyle w:val="Appelnotedebasdep"/>
          <w:rFonts w:cs="Times New Roman"/>
        </w:rPr>
        <w:footnoteRef/>
      </w:r>
      <w:r w:rsidRPr="00183FEF">
        <w:rPr>
          <w:rFonts w:cs="Times New Roman"/>
        </w:rPr>
        <w:t>CHOINEL</w:t>
      </w:r>
      <w:r>
        <w:rPr>
          <w:rFonts w:cs="Times New Roman"/>
        </w:rPr>
        <w:t>.</w:t>
      </w:r>
      <w:r w:rsidRPr="00183FEF">
        <w:rPr>
          <w:rFonts w:cs="Times New Roman"/>
        </w:rPr>
        <w:t xml:space="preserve">A, </w:t>
      </w:r>
      <w:r>
        <w:rPr>
          <w:rFonts w:cs="Times New Roman"/>
        </w:rPr>
        <w:t xml:space="preserve">Le </w:t>
      </w:r>
      <w:r w:rsidRPr="00183FEF">
        <w:rPr>
          <w:rFonts w:cs="Times New Roman"/>
        </w:rPr>
        <w:t xml:space="preserve">système bancaire et financier, approche française et européenne, </w:t>
      </w:r>
      <w:r>
        <w:rPr>
          <w:rFonts w:cs="Times New Roman"/>
        </w:rPr>
        <w:t>P</w:t>
      </w:r>
      <w:r w:rsidRPr="00183FEF">
        <w:rPr>
          <w:rFonts w:cs="Times New Roman"/>
        </w:rPr>
        <w:t xml:space="preserve">aris, </w:t>
      </w:r>
      <w:r>
        <w:rPr>
          <w:rFonts w:cs="Times New Roman"/>
        </w:rPr>
        <w:t>R</w:t>
      </w:r>
      <w:r w:rsidRPr="00183FEF">
        <w:rPr>
          <w:rFonts w:cs="Times New Roman"/>
        </w:rPr>
        <w:t xml:space="preserve">evue </w:t>
      </w:r>
      <w:r>
        <w:rPr>
          <w:rFonts w:cs="Times New Roman"/>
        </w:rPr>
        <w:t>Banque,</w:t>
      </w:r>
      <w:r w:rsidRPr="00183FEF">
        <w:rPr>
          <w:rFonts w:cs="Times New Roman"/>
        </w:rPr>
        <w:t xml:space="preserve"> page 82 </w:t>
      </w:r>
    </w:p>
  </w:footnote>
  <w:footnote w:id="19">
    <w:p w:rsidR="00826CCF" w:rsidRPr="00757D25" w:rsidRDefault="00826CCF" w:rsidP="00757D25">
      <w:pPr>
        <w:pStyle w:val="Notedebasdepage"/>
      </w:pPr>
      <w:r w:rsidRPr="00183FEF">
        <w:rPr>
          <w:rStyle w:val="Appelnotedebasdep"/>
          <w:rFonts w:cs="Times New Roman"/>
        </w:rPr>
        <w:footnoteRef/>
      </w:r>
      <w:r w:rsidRPr="00183FEF">
        <w:rPr>
          <w:rFonts w:cs="Times New Roman"/>
          <w:sz w:val="22"/>
          <w:szCs w:val="22"/>
        </w:rPr>
        <w:t xml:space="preserve">MADELEINE </w:t>
      </w:r>
      <w:proofErr w:type="spellStart"/>
      <w:r w:rsidRPr="00183FEF">
        <w:rPr>
          <w:rFonts w:cs="Times New Roman"/>
          <w:sz w:val="22"/>
          <w:szCs w:val="22"/>
        </w:rPr>
        <w:t>WELAKWENina</w:t>
      </w:r>
      <w:proofErr w:type="spellEnd"/>
      <w:r w:rsidRPr="00183FEF">
        <w:rPr>
          <w:rFonts w:cs="Times New Roman"/>
          <w:sz w:val="22"/>
          <w:szCs w:val="22"/>
        </w:rPr>
        <w:t xml:space="preserve">, </w:t>
      </w:r>
      <w:r>
        <w:rPr>
          <w:rFonts w:cs="Times New Roman"/>
          <w:sz w:val="22"/>
          <w:szCs w:val="22"/>
        </w:rPr>
        <w:t>A</w:t>
      </w:r>
      <w:r w:rsidRPr="00183FEF">
        <w:rPr>
          <w:rFonts w:cs="Times New Roman"/>
          <w:sz w:val="22"/>
          <w:szCs w:val="22"/>
        </w:rPr>
        <w:t xml:space="preserve">nalyse critique de la régulation de la liquidité bancaire par </w:t>
      </w:r>
      <w:r w:rsidRPr="00757D25">
        <w:rPr>
          <w:rFonts w:cs="Times New Roman"/>
        </w:rPr>
        <w:t>une banque centrale communautaire et sa contribution au processus d'intégration régionale: Le cas de la Banque des Etats de l'Afrique Centrale (BEAC), Université Catholique d'Afrique Centrale, 2006</w:t>
      </w:r>
    </w:p>
  </w:footnote>
  <w:footnote w:id="20">
    <w:p w:rsidR="00826CCF" w:rsidRPr="00757D25" w:rsidRDefault="00826CCF" w:rsidP="00807890">
      <w:pPr>
        <w:pStyle w:val="Notedebasdepage"/>
      </w:pPr>
      <w:r w:rsidRPr="00757D25">
        <w:rPr>
          <w:rStyle w:val="Appelnotedebasdep"/>
          <w:rFonts w:cs="Times New Roman"/>
        </w:rPr>
        <w:footnoteRef/>
      </w:r>
      <w:r w:rsidRPr="00757D25">
        <w:rPr>
          <w:rFonts w:cs="Times New Roman"/>
        </w:rPr>
        <w:t>BEZIADE. M, La monnaie, Masson, 1986, page55</w:t>
      </w:r>
    </w:p>
  </w:footnote>
  <w:footnote w:id="21">
    <w:p w:rsidR="00826CCF" w:rsidRDefault="00826CCF" w:rsidP="00807890">
      <w:pPr>
        <w:pStyle w:val="Notedebasdepage"/>
      </w:pPr>
      <w:r w:rsidRPr="00757D25">
        <w:rPr>
          <w:rStyle w:val="Appelnotedebasdep"/>
        </w:rPr>
        <w:footnoteRef/>
      </w:r>
      <w:r w:rsidRPr="00757D25">
        <w:rPr>
          <w:rFonts w:cs="Times New Roman"/>
        </w:rPr>
        <w:t xml:space="preserve">FERRANDIER et KOEN.V, Marchés de capitaux et techniques financières, </w:t>
      </w:r>
      <w:proofErr w:type="spellStart"/>
      <w:r w:rsidRPr="00757D25">
        <w:rPr>
          <w:rFonts w:cs="Times New Roman"/>
        </w:rPr>
        <w:t>Economica</w:t>
      </w:r>
      <w:proofErr w:type="spellEnd"/>
      <w:r w:rsidRPr="00757D25">
        <w:rPr>
          <w:rFonts w:cs="Times New Roman"/>
        </w:rPr>
        <w:t>, 1997, page</w:t>
      </w:r>
      <w:r w:rsidRPr="003642C2">
        <w:rPr>
          <w:rFonts w:cs="Times New Roman"/>
        </w:rPr>
        <w:t xml:space="preserve"> 97 </w:t>
      </w:r>
    </w:p>
    <w:p w:rsidR="00826CCF" w:rsidRDefault="00826CCF" w:rsidP="001D5E53">
      <w:pPr>
        <w:pStyle w:val="Notedebasdepage"/>
      </w:pPr>
    </w:p>
    <w:p w:rsidR="00826CCF" w:rsidRDefault="00826CCF" w:rsidP="001D5E53">
      <w:pPr>
        <w:pStyle w:val="Notedebasdepage"/>
      </w:pPr>
    </w:p>
  </w:footnote>
  <w:footnote w:id="22">
    <w:p w:rsidR="00826CCF" w:rsidRDefault="00826CCF" w:rsidP="001D5E53">
      <w:pPr>
        <w:pStyle w:val="Notedebasdepage"/>
      </w:pPr>
    </w:p>
  </w:footnote>
  <w:footnote w:id="23">
    <w:p w:rsidR="00826CCF" w:rsidRDefault="00826CCF" w:rsidP="00807890">
      <w:pPr>
        <w:pStyle w:val="Notedebasdepage"/>
      </w:pPr>
      <w:r w:rsidRPr="003D7CAA">
        <w:rPr>
          <w:rStyle w:val="Appelnotedebasdep"/>
          <w:rFonts w:cs="Times New Roman"/>
        </w:rPr>
        <w:footnoteRef/>
      </w:r>
      <w:r w:rsidRPr="003D7CAA">
        <w:rPr>
          <w:rFonts w:cs="Times New Roman"/>
        </w:rPr>
        <w:t xml:space="preserve"> POULON Fréderic,</w:t>
      </w:r>
      <w:r>
        <w:rPr>
          <w:rFonts w:cs="Times New Roman"/>
        </w:rPr>
        <w:t xml:space="preserve"> Economie générale, </w:t>
      </w:r>
      <w:proofErr w:type="spellStart"/>
      <w:r>
        <w:rPr>
          <w:rFonts w:cs="Times New Roman"/>
        </w:rPr>
        <w:t>Dunod</w:t>
      </w:r>
      <w:proofErr w:type="spellEnd"/>
      <w:r>
        <w:rPr>
          <w:rFonts w:cs="Times New Roman"/>
        </w:rPr>
        <w:t>, 1982.</w:t>
      </w:r>
    </w:p>
  </w:footnote>
  <w:footnote w:id="24">
    <w:p w:rsidR="00826CCF" w:rsidRDefault="00826CCF" w:rsidP="001D5E53">
      <w:pPr>
        <w:pStyle w:val="Notedebasdepage"/>
        <w:rPr>
          <w:rFonts w:cs="Times New Roman"/>
        </w:rPr>
      </w:pPr>
      <w:r>
        <w:rPr>
          <w:rStyle w:val="Appelnotedebasdep"/>
          <w:rFonts w:cs="Times New Roman"/>
        </w:rPr>
        <w:footnoteRef/>
      </w:r>
      <w:r>
        <w:t xml:space="preserve"> Rapport de la Banque d’Algérie 2010, évolution économique et monétaire en Algérie, page 135.</w:t>
      </w:r>
    </w:p>
  </w:footnote>
  <w:footnote w:id="25">
    <w:p w:rsidR="00826CCF" w:rsidRDefault="00826CCF" w:rsidP="006517B5">
      <w:pPr>
        <w:pStyle w:val="Notedebasdepage"/>
        <w:rPr>
          <w:rFonts w:cs="Times New Roman"/>
        </w:rPr>
      </w:pPr>
      <w:r w:rsidRPr="00EA68F8">
        <w:rPr>
          <w:rStyle w:val="Appelnotedebasdep"/>
          <w:rFonts w:cs="Times New Roman"/>
        </w:rPr>
        <w:footnoteRef/>
      </w:r>
      <w:r>
        <w:rPr>
          <w:rFonts w:cs="Times New Roman"/>
        </w:rPr>
        <w:t>Revue Africaine de l’intégration, Vol 3, No.2, Octobre 2009, pages 45-46</w:t>
      </w:r>
    </w:p>
  </w:footnote>
  <w:footnote w:id="26">
    <w:p w:rsidR="00826CCF" w:rsidRPr="004546CF" w:rsidRDefault="00826CCF" w:rsidP="006517B5">
      <w:pPr>
        <w:pStyle w:val="Notedebasdepage"/>
        <w:rPr>
          <w:rFonts w:cs="Times New Roman"/>
        </w:rPr>
      </w:pPr>
      <w:r w:rsidRPr="00DB54A1">
        <w:rPr>
          <w:rStyle w:val="Appelnotedebasdep"/>
          <w:rFonts w:cs="Times New Roman"/>
        </w:rPr>
        <w:footnoteRef/>
      </w:r>
      <w:r w:rsidRPr="004546CF">
        <w:rPr>
          <w:rFonts w:cs="Times New Roman"/>
        </w:rPr>
        <w:t xml:space="preserve">JACKSON T.H </w:t>
      </w:r>
      <w:proofErr w:type="spellStart"/>
      <w:r>
        <w:rPr>
          <w:rFonts w:cs="Times New Roman"/>
        </w:rPr>
        <w:t>Ngwa</w:t>
      </w:r>
      <w:proofErr w:type="spellEnd"/>
      <w:r>
        <w:rPr>
          <w:rFonts w:cs="Times New Roman"/>
        </w:rPr>
        <w:t xml:space="preserve"> </w:t>
      </w:r>
      <w:proofErr w:type="spellStart"/>
      <w:r>
        <w:rPr>
          <w:rFonts w:cs="Times New Roman"/>
        </w:rPr>
        <w:t>Edielle</w:t>
      </w:r>
      <w:proofErr w:type="spellEnd"/>
      <w:r>
        <w:rPr>
          <w:rFonts w:cs="Times New Roman"/>
        </w:rPr>
        <w:t xml:space="preserve">, </w:t>
      </w:r>
      <w:r w:rsidRPr="004546CF">
        <w:rPr>
          <w:rFonts w:cs="Times New Roman"/>
        </w:rPr>
        <w:t xml:space="preserve">Efficience des banques dans la CEMAC, Institut Sous Régionale de Statistique et d’Economie Appliquée, 2007 </w:t>
      </w:r>
    </w:p>
    <w:p w:rsidR="00826CCF" w:rsidRPr="004546CF" w:rsidRDefault="00826CCF" w:rsidP="006517B5">
      <w:pPr>
        <w:pStyle w:val="Notedebasdepage"/>
        <w:rPr>
          <w:rFonts w:cs="Times New Roman"/>
        </w:rPr>
      </w:pPr>
    </w:p>
  </w:footnote>
  <w:footnote w:id="27">
    <w:p w:rsidR="00826CCF" w:rsidRDefault="00826CCF" w:rsidP="001D5E53">
      <w:pPr>
        <w:pStyle w:val="Notedebasdepage"/>
        <w:rPr>
          <w:rFonts w:cs="Times New Roman"/>
        </w:rPr>
      </w:pPr>
      <w:r>
        <w:rPr>
          <w:rStyle w:val="Appelnotedebasdep"/>
          <w:rFonts w:cs="Times New Roman"/>
        </w:rPr>
        <w:footnoteRef/>
      </w:r>
      <w:r>
        <w:t xml:space="preserve"> Banque d’Algérie, rapports sur la stabilité du système bancaire algérien, 2013,  pages 22-32</w:t>
      </w:r>
    </w:p>
  </w:footnote>
  <w:footnote w:id="28">
    <w:p w:rsidR="00826CCF" w:rsidRDefault="00826CCF">
      <w:pPr>
        <w:pStyle w:val="Notedebasdepage"/>
      </w:pPr>
      <w:r>
        <w:rPr>
          <w:rStyle w:val="Appelnotedebasdep"/>
        </w:rPr>
        <w:footnoteRef/>
      </w:r>
      <w:hyperlink r:id="rId2" w:history="1">
        <w:r w:rsidRPr="00ED5D87">
          <w:rPr>
            <w:rStyle w:val="Lienhypertexte"/>
          </w:rPr>
          <w:t>http://perspective.usherbrooke.ca/bilan/tend/DZA/fr/NY.GDS.TOTL.ZS.html</w:t>
        </w:r>
      </w:hyperlink>
      <w:r>
        <w:t>, consulté le 02/08/2015</w:t>
      </w:r>
    </w:p>
  </w:footnote>
  <w:footnote w:id="29">
    <w:p w:rsidR="00826CCF" w:rsidRPr="00CD67EB" w:rsidRDefault="00826CCF" w:rsidP="001D5E53">
      <w:pPr>
        <w:pStyle w:val="NormalWeb"/>
        <w:rPr>
          <w:sz w:val="20"/>
          <w:szCs w:val="20"/>
        </w:rPr>
      </w:pPr>
      <w:r w:rsidRPr="00CD67EB">
        <w:rPr>
          <w:rStyle w:val="Appelnotedebasdep"/>
          <w:sz w:val="20"/>
          <w:szCs w:val="20"/>
        </w:rPr>
        <w:footnoteRef/>
      </w:r>
      <w:r w:rsidRPr="00CD67EB">
        <w:rPr>
          <w:sz w:val="20"/>
          <w:szCs w:val="20"/>
        </w:rPr>
        <w:t xml:space="preserve">La FBCF est un indicateur issu de la comptabilité nationale française. Elle mesure le flux annuel d'investissements réalisés dans le pays. </w:t>
      </w:r>
      <w:r w:rsidRPr="005B33F3">
        <w:rPr>
          <w:sz w:val="20"/>
          <w:szCs w:val="20"/>
        </w:rPr>
        <w:t>La FBCF est donc la somme des investissements, essentiellement matériels, réalisés pendant l'année sur le territoire français</w:t>
      </w:r>
      <w:r w:rsidRPr="00CD67EB">
        <w:rPr>
          <w:sz w:val="20"/>
          <w:szCs w:val="20"/>
        </w:rPr>
        <w:t>.</w:t>
      </w:r>
    </w:p>
    <w:p w:rsidR="00826CCF" w:rsidRDefault="00826CCF" w:rsidP="001D5E53">
      <w:pPr>
        <w:pStyle w:val="NormalWeb"/>
      </w:pPr>
    </w:p>
  </w:footnote>
  <w:footnote w:id="30">
    <w:p w:rsidR="00826CCF" w:rsidRDefault="00826CCF">
      <w:pPr>
        <w:pStyle w:val="Notedebasdepage"/>
      </w:pPr>
      <w:r>
        <w:rPr>
          <w:rStyle w:val="Appelnotedebasdep"/>
        </w:rPr>
        <w:footnoteRef/>
      </w:r>
      <w:hyperlink r:id="rId3" w:history="1">
        <w:r w:rsidRPr="00ED5D87">
          <w:rPr>
            <w:rStyle w:val="Lienhypertexte"/>
          </w:rPr>
          <w:t>http://www.toupie.org/Dictionnaire/Pib.htm</w:t>
        </w:r>
      </w:hyperlink>
      <w:r>
        <w:t>, consulté le 21/07/2015</w:t>
      </w:r>
    </w:p>
  </w:footnote>
  <w:footnote w:id="31">
    <w:p w:rsidR="00826CCF" w:rsidRDefault="00826CCF" w:rsidP="001D5E53">
      <w:pPr>
        <w:pStyle w:val="Notedebasdepage"/>
        <w:rPr>
          <w:rFonts w:cs="Times New Roman"/>
        </w:rPr>
      </w:pPr>
      <w:r w:rsidRPr="00A72172">
        <w:rPr>
          <w:rStyle w:val="Appelnotedebasdep"/>
          <w:rFonts w:eastAsia="Arial Unicode MS" w:cs="Times New Roman"/>
        </w:rPr>
        <w:footnoteRef/>
      </w:r>
      <w:r>
        <w:rPr>
          <w:rFonts w:cs="Times New Roman"/>
        </w:rPr>
        <w:t>Banque d’Algérie, R</w:t>
      </w:r>
      <w:r w:rsidRPr="00A72172">
        <w:rPr>
          <w:rFonts w:cs="Times New Roman"/>
        </w:rPr>
        <w:t>apports sur la stabilité du système bancaire algérien, 2013</w:t>
      </w:r>
      <w:r>
        <w:rPr>
          <w:rFonts w:cs="Times New Roman"/>
        </w:rPr>
        <w:t>, P 23-24</w:t>
      </w:r>
    </w:p>
  </w:footnote>
  <w:footnote w:id="32">
    <w:p w:rsidR="00826CCF" w:rsidRDefault="00826CCF">
      <w:pPr>
        <w:pStyle w:val="Notedebasdepage"/>
      </w:pPr>
      <w:r>
        <w:rPr>
          <w:rStyle w:val="Appelnotedebasdep"/>
        </w:rPr>
        <w:footnoteRef/>
      </w:r>
      <w:r w:rsidRPr="00A72172">
        <w:rPr>
          <w:rFonts w:cs="Times New Roman"/>
        </w:rPr>
        <w:t>Banque d’Algérie, rapports sur la stabilité du système bancaire algérien, 2013</w:t>
      </w:r>
      <w:r>
        <w:rPr>
          <w:rFonts w:cs="Times New Roman"/>
        </w:rPr>
        <w:t>, P 25-28</w:t>
      </w:r>
    </w:p>
  </w:footnote>
  <w:footnote w:id="33">
    <w:p w:rsidR="00826CCF" w:rsidRPr="00DA777C" w:rsidRDefault="00826CCF" w:rsidP="001D5E53">
      <w:pPr>
        <w:pStyle w:val="Notedebasdepage"/>
        <w:rPr>
          <w:rFonts w:cs="Times New Roman"/>
        </w:rPr>
      </w:pPr>
      <w:r w:rsidRPr="00DA777C">
        <w:rPr>
          <w:rStyle w:val="Appelnotedebasdep"/>
          <w:rFonts w:cs="Times New Roman"/>
        </w:rPr>
        <w:footnoteRef/>
      </w:r>
      <w:hyperlink r:id="rId4" w:history="1">
        <w:r w:rsidRPr="00ED5D87">
          <w:rPr>
            <w:rStyle w:val="Lienhypertexte"/>
            <w:rFonts w:cs="Times New Roman"/>
          </w:rPr>
          <w:t>http://www.lafinancepourtous.com/Decryptages/Mots-de-la-finance/Ratio-de-solvabilite-bancaire</w:t>
        </w:r>
      </w:hyperlink>
      <w:r>
        <w:rPr>
          <w:rFonts w:cs="Times New Roman"/>
        </w:rPr>
        <w:t>, consulté le 18/07/2015</w:t>
      </w:r>
    </w:p>
  </w:footnote>
  <w:footnote w:id="34">
    <w:p w:rsidR="00826CCF" w:rsidRPr="00DA777C" w:rsidRDefault="00826CCF" w:rsidP="0003476B">
      <w:pPr>
        <w:pStyle w:val="Notedebasdepage"/>
        <w:rPr>
          <w:rFonts w:cs="Times New Roman"/>
        </w:rPr>
      </w:pPr>
      <w:r w:rsidRPr="00DA777C">
        <w:rPr>
          <w:rStyle w:val="Appelnotedebasdep"/>
          <w:rFonts w:cs="Times New Roman"/>
        </w:rPr>
        <w:footnoteRef/>
      </w:r>
      <w:r w:rsidRPr="00DA777C">
        <w:rPr>
          <w:rFonts w:cs="Times New Roman"/>
        </w:rPr>
        <w:t>AFP, Article : « Algérie : solvabilité des banques à 24% (2011) », Journal Electronique Le Figaro.Fr, le 2012</w:t>
      </w:r>
      <w:r>
        <w:rPr>
          <w:rFonts w:cs="Times New Roman"/>
        </w:rPr>
        <w:t>, consulté le 21/07/2015</w:t>
      </w:r>
    </w:p>
  </w:footnote>
  <w:footnote w:id="35">
    <w:p w:rsidR="00826CCF" w:rsidRDefault="00826CCF" w:rsidP="0003476B">
      <w:pPr>
        <w:pStyle w:val="Notedebasdepage"/>
        <w:rPr>
          <w:rFonts w:cs="Times New Roman"/>
        </w:rPr>
      </w:pPr>
      <w:r w:rsidRPr="00DA777C">
        <w:rPr>
          <w:rStyle w:val="Appelnotedebasdep"/>
          <w:rFonts w:cs="Times New Roman"/>
        </w:rPr>
        <w:footnoteRef/>
      </w:r>
      <w:r w:rsidRPr="00DA777C">
        <w:rPr>
          <w:rFonts w:cs="Times New Roman"/>
        </w:rPr>
        <w:t xml:space="preserve"> Rapport de la Banque d’Algérie</w:t>
      </w:r>
      <w:r>
        <w:rPr>
          <w:rFonts w:cs="Times New Roman"/>
        </w:rPr>
        <w:t>, S</w:t>
      </w:r>
      <w:r w:rsidRPr="00D15B2C">
        <w:rPr>
          <w:rFonts w:cs="Times New Roman"/>
          <w:szCs w:val="24"/>
        </w:rPr>
        <w:t>itua</w:t>
      </w:r>
      <w:r>
        <w:rPr>
          <w:rFonts w:cs="Times New Roman"/>
          <w:szCs w:val="24"/>
        </w:rPr>
        <w:t>tion économique et monétaire, 2010</w:t>
      </w:r>
    </w:p>
  </w:footnote>
  <w:footnote w:id="36">
    <w:p w:rsidR="00826CCF" w:rsidRDefault="00826CCF" w:rsidP="00E96CB0">
      <w:pPr>
        <w:pStyle w:val="Notedebasdepage"/>
      </w:pPr>
      <w:r>
        <w:rPr>
          <w:rStyle w:val="Appelnotedebasdep"/>
        </w:rPr>
        <w:footnoteRef/>
      </w:r>
      <w:r>
        <w:t xml:space="preserve"> Voir annexe N°III</w:t>
      </w:r>
    </w:p>
  </w:footnote>
  <w:footnote w:id="37">
    <w:p w:rsidR="00826CCF" w:rsidRDefault="00826CCF">
      <w:pPr>
        <w:pStyle w:val="Notedebasdepage"/>
      </w:pPr>
      <w:r>
        <w:rPr>
          <w:rStyle w:val="Appelnotedebasdep"/>
        </w:rPr>
        <w:footnoteRef/>
      </w:r>
      <w:r>
        <w:t xml:space="preserve"> Voir annexe N°VI.</w:t>
      </w:r>
    </w:p>
  </w:footnote>
  <w:footnote w:id="38">
    <w:p w:rsidR="00826CCF" w:rsidRDefault="00826CCF">
      <w:pPr>
        <w:pStyle w:val="Notedebasdepage"/>
      </w:pPr>
      <w:r>
        <w:rPr>
          <w:rStyle w:val="Appelnotedebasdep"/>
        </w:rPr>
        <w:footnoteRef/>
      </w:r>
      <w:r>
        <w:t xml:space="preserve"> Voir annexe N°VII.</w:t>
      </w:r>
    </w:p>
  </w:footnote>
  <w:footnote w:id="39">
    <w:p w:rsidR="00826CCF" w:rsidRPr="004546CF" w:rsidRDefault="00826CCF" w:rsidP="0003476B">
      <w:pPr>
        <w:pStyle w:val="Notedebasdepage"/>
        <w:rPr>
          <w:rStyle w:val="Lienhypertexte"/>
          <w:rFonts w:cs="Times New Roman"/>
        </w:rPr>
      </w:pPr>
      <w:r w:rsidRPr="004546CF">
        <w:rPr>
          <w:rStyle w:val="Appelnotedebasdep"/>
          <w:rFonts w:cs="Times New Roman"/>
        </w:rPr>
        <w:footnoteRef/>
      </w:r>
      <w:r w:rsidRPr="004546CF">
        <w:rPr>
          <w:rFonts w:cs="Times New Roman"/>
        </w:rPr>
        <w:t>BENREGUIA</w:t>
      </w:r>
      <w:r>
        <w:rPr>
          <w:rFonts w:cs="Times New Roman"/>
        </w:rPr>
        <w:t>.S</w:t>
      </w:r>
      <w:r w:rsidRPr="004546CF">
        <w:rPr>
          <w:rFonts w:cs="Times New Roman"/>
        </w:rPr>
        <w:t xml:space="preserve">, « La surliquidité bancaire s’élève à 50 milliards de dollars », journal électronique </w:t>
      </w:r>
      <w:proofErr w:type="spellStart"/>
      <w:r w:rsidRPr="004546CF">
        <w:rPr>
          <w:rFonts w:cs="Times New Roman"/>
        </w:rPr>
        <w:t>Djazairess</w:t>
      </w:r>
      <w:proofErr w:type="spellEnd"/>
      <w:r w:rsidRPr="004546CF">
        <w:rPr>
          <w:rFonts w:cs="Times New Roman"/>
        </w:rPr>
        <w:t xml:space="preserve">, La Tribune, </w:t>
      </w:r>
      <w:r>
        <w:rPr>
          <w:rFonts w:cs="Times New Roman"/>
        </w:rPr>
        <w:t>2009, consulté le 30/08/2015</w:t>
      </w:r>
    </w:p>
    <w:p w:rsidR="00826CCF" w:rsidRPr="004546CF" w:rsidRDefault="00826CCF" w:rsidP="001D5E53">
      <w:pPr>
        <w:pStyle w:val="Notedebasdepage"/>
        <w:rPr>
          <w:rFonts w:cs="Times New Roman"/>
        </w:rPr>
      </w:pPr>
    </w:p>
  </w:footnote>
  <w:footnote w:id="40">
    <w:p w:rsidR="00826CCF" w:rsidRDefault="00826CCF" w:rsidP="0003476B">
      <w:pPr>
        <w:pStyle w:val="Notedebasdepage"/>
        <w:rPr>
          <w:rFonts w:cs="Times New Roman"/>
        </w:rPr>
      </w:pPr>
      <w:r w:rsidRPr="004546CF">
        <w:rPr>
          <w:rStyle w:val="Appelnotedebasdep"/>
          <w:rFonts w:cs="Times New Roman"/>
        </w:rPr>
        <w:footnoteRef/>
      </w:r>
      <w:r w:rsidRPr="004546CF">
        <w:rPr>
          <w:rFonts w:cs="Times New Roman"/>
        </w:rPr>
        <w:t xml:space="preserve">KARROUBI </w:t>
      </w:r>
      <w:proofErr w:type="spellStart"/>
      <w:r w:rsidRPr="004546CF">
        <w:rPr>
          <w:rFonts w:cs="Times New Roman"/>
        </w:rPr>
        <w:t>Mokertar</w:t>
      </w:r>
      <w:proofErr w:type="spellEnd"/>
      <w:r w:rsidRPr="004546CF">
        <w:rPr>
          <w:rFonts w:cs="Times New Roman"/>
        </w:rPr>
        <w:t xml:space="preserve">, </w:t>
      </w:r>
      <w:r>
        <w:rPr>
          <w:rFonts w:cs="Times New Roman"/>
        </w:rPr>
        <w:t>E</w:t>
      </w:r>
      <w:r w:rsidRPr="004546CF">
        <w:rPr>
          <w:rFonts w:cs="Times New Roman"/>
        </w:rPr>
        <w:t>xpert en banque, « La surliquidité bancaire ne va pas à l’investissement », Journa</w:t>
      </w:r>
      <w:r>
        <w:rPr>
          <w:rFonts w:cs="Times New Roman"/>
        </w:rPr>
        <w:t xml:space="preserve">l électronique : Liberté, Alger, </w:t>
      </w:r>
      <w:r w:rsidRPr="004546CF">
        <w:rPr>
          <w:rFonts w:cs="Times New Roman"/>
        </w:rPr>
        <w:t>2015</w:t>
      </w:r>
      <w:r>
        <w:rPr>
          <w:rFonts w:cs="Times New Roman"/>
        </w:rPr>
        <w:t>, consulté le 03/09/2015</w:t>
      </w:r>
    </w:p>
  </w:footnote>
  <w:footnote w:id="41">
    <w:p w:rsidR="00826CCF" w:rsidRDefault="00826CCF" w:rsidP="00590557">
      <w:pPr>
        <w:pStyle w:val="Notedebasdepage"/>
        <w:rPr>
          <w:rFonts w:cs="Times New Roman"/>
        </w:rPr>
      </w:pPr>
      <w:r>
        <w:rPr>
          <w:rStyle w:val="Appelnotedebasdep"/>
          <w:rFonts w:cs="Times New Roman"/>
        </w:rPr>
        <w:footnoteRef/>
      </w:r>
      <w:r>
        <w:t>Article 66 de la loi 90-10 du 14 Avril 1990 relative à la monnaie et le crédit</w:t>
      </w:r>
    </w:p>
  </w:footnote>
  <w:footnote w:id="42">
    <w:p w:rsidR="00826CCF" w:rsidRDefault="00826CCF" w:rsidP="00D86C6B">
      <w:pPr>
        <w:pStyle w:val="Notedebasdepage"/>
        <w:rPr>
          <w:rFonts w:cs="Times New Roman"/>
        </w:rPr>
      </w:pPr>
      <w:r>
        <w:rPr>
          <w:rStyle w:val="Appelnotedebasdep"/>
          <w:rFonts w:cs="Times New Roman"/>
        </w:rPr>
        <w:footnoteRef/>
      </w:r>
      <w:r w:rsidRPr="008A54CB">
        <w:rPr>
          <w:rFonts w:cs="Times New Roman"/>
        </w:rPr>
        <w:t xml:space="preserve">NGAH BERLIN Sidoine, </w:t>
      </w:r>
      <w:r w:rsidRPr="008A54CB">
        <w:rPr>
          <w:rFonts w:cs="Times New Roman"/>
          <w:kern w:val="36"/>
        </w:rPr>
        <w:t xml:space="preserve">Les interventions de la BEAC dans le cadre du marché monétaire et le problème de surliquidité des banques au Cameroun, </w:t>
      </w:r>
      <w:proofErr w:type="spellStart"/>
      <w:r w:rsidRPr="008A54CB">
        <w:rPr>
          <w:rFonts w:cs="Times New Roman"/>
        </w:rPr>
        <w:t>Ngaoundéré's</w:t>
      </w:r>
      <w:proofErr w:type="spellEnd"/>
      <w:r>
        <w:rPr>
          <w:rFonts w:cs="Times New Roman"/>
        </w:rPr>
        <w:t xml:space="preserve"> </w:t>
      </w:r>
      <w:proofErr w:type="spellStart"/>
      <w:r w:rsidRPr="008A54CB">
        <w:rPr>
          <w:rFonts w:cs="Times New Roman"/>
        </w:rPr>
        <w:t>University</w:t>
      </w:r>
      <w:proofErr w:type="spellEnd"/>
      <w:r w:rsidRPr="008A54CB">
        <w:rPr>
          <w:rFonts w:cs="Times New Roman"/>
        </w:rPr>
        <w:t> - Licence Professionn</w:t>
      </w:r>
      <w:r>
        <w:rPr>
          <w:rFonts w:cs="Times New Roman"/>
        </w:rPr>
        <w:t xml:space="preserve">elle en Comptabilité et Finance, </w:t>
      </w:r>
      <w:r w:rsidRPr="008A54CB">
        <w:rPr>
          <w:rFonts w:cs="Times New Roman"/>
        </w:rPr>
        <w:t>2010</w:t>
      </w:r>
    </w:p>
  </w:footnote>
  <w:footnote w:id="43">
    <w:p w:rsidR="00826CCF" w:rsidRPr="00915835" w:rsidRDefault="00826CCF" w:rsidP="00EC2073">
      <w:pPr>
        <w:pStyle w:val="Notedebasdepage"/>
        <w:rPr>
          <w:rFonts w:cs="Times New Roman"/>
        </w:rPr>
      </w:pPr>
      <w:r w:rsidRPr="00915835">
        <w:rPr>
          <w:rStyle w:val="Appelnotedebasdep"/>
          <w:rFonts w:cs="Times New Roman"/>
        </w:rPr>
        <w:footnoteRef/>
      </w:r>
      <w:r w:rsidRPr="00915835">
        <w:rPr>
          <w:rFonts w:cs="Times New Roman"/>
        </w:rPr>
        <w:t xml:space="preserve"> Rapport de la Banque d’Algérie : Chapitre 8 « Politique Monétaire », page 108.</w:t>
      </w:r>
    </w:p>
  </w:footnote>
  <w:footnote w:id="44">
    <w:p w:rsidR="00826CCF" w:rsidRDefault="00826CCF">
      <w:pPr>
        <w:pStyle w:val="Notedebasdepage"/>
      </w:pPr>
      <w:r>
        <w:rPr>
          <w:rStyle w:val="Appelnotedebasdep"/>
        </w:rPr>
        <w:footnoteRef/>
      </w:r>
      <w:r>
        <w:t xml:space="preserve"> Voir annexe N°IX.</w:t>
      </w:r>
    </w:p>
  </w:footnote>
  <w:footnote w:id="45">
    <w:p w:rsidR="00826CCF" w:rsidRDefault="00826CCF" w:rsidP="00D86C6B">
      <w:pPr>
        <w:pStyle w:val="Notedebasdepage"/>
      </w:pPr>
      <w:r>
        <w:rPr>
          <w:rStyle w:val="Appelnotedebasdep"/>
        </w:rPr>
        <w:footnoteRef/>
      </w:r>
      <w:r w:rsidRPr="00EB63CB">
        <w:rPr>
          <w:rFonts w:cs="Times New Roman"/>
        </w:rPr>
        <w:t xml:space="preserve">Rapport de la </w:t>
      </w:r>
      <w:r>
        <w:rPr>
          <w:rFonts w:cs="Times New Roman"/>
        </w:rPr>
        <w:t>B</w:t>
      </w:r>
      <w:r w:rsidRPr="00EB63CB">
        <w:rPr>
          <w:rFonts w:cs="Times New Roman"/>
        </w:rPr>
        <w:t>anque d‘Algérie : cha</w:t>
      </w:r>
      <w:r>
        <w:rPr>
          <w:rFonts w:cs="Times New Roman"/>
        </w:rPr>
        <w:t>pitre 8 « politique monétaire », 2013, P</w:t>
      </w:r>
      <w:r w:rsidRPr="00EB63CB">
        <w:rPr>
          <w:rFonts w:cs="Times New Roman"/>
        </w:rPr>
        <w:t>age 115</w:t>
      </w:r>
    </w:p>
  </w:footnote>
  <w:footnote w:id="46">
    <w:p w:rsidR="00826CCF" w:rsidRDefault="00826CCF">
      <w:pPr>
        <w:pStyle w:val="Notedebasdepage"/>
      </w:pPr>
      <w:r>
        <w:rPr>
          <w:rStyle w:val="Appelnotedebasdep"/>
        </w:rPr>
        <w:footnoteRef/>
      </w:r>
      <w:r>
        <w:t xml:space="preserve"> Voir annexe N°X.</w:t>
      </w:r>
    </w:p>
  </w:footnote>
  <w:footnote w:id="47">
    <w:p w:rsidR="00826CCF" w:rsidRDefault="00826CCF" w:rsidP="00EB0D2C">
      <w:pPr>
        <w:pStyle w:val="Notedebasdepage"/>
        <w:rPr>
          <w:rFonts w:cs="Times New Roman"/>
        </w:rPr>
      </w:pPr>
      <w:r w:rsidRPr="00EB63CB">
        <w:rPr>
          <w:rStyle w:val="Appelnotedebasdep"/>
          <w:rFonts w:cs="Times New Roman"/>
        </w:rPr>
        <w:footnoteRef/>
      </w:r>
      <w:r w:rsidRPr="00EB63CB">
        <w:rPr>
          <w:rFonts w:cs="Times New Roman"/>
        </w:rPr>
        <w:t xml:space="preserve"> Rapport de la banque d’Algérie : </w:t>
      </w:r>
      <w:r>
        <w:rPr>
          <w:rFonts w:cs="Times New Roman"/>
        </w:rPr>
        <w:t>T</w:t>
      </w:r>
      <w:r w:rsidRPr="00EB63CB">
        <w:rPr>
          <w:rFonts w:cs="Times New Roman"/>
        </w:rPr>
        <w:t>endances monétaires et financières au c</w:t>
      </w:r>
      <w:r>
        <w:rPr>
          <w:rFonts w:cs="Times New Roman"/>
        </w:rPr>
        <w:t>ours des neufs premiers mois,</w:t>
      </w:r>
      <w:r w:rsidRPr="00EB63CB">
        <w:rPr>
          <w:rFonts w:cs="Times New Roman"/>
        </w:rPr>
        <w:t xml:space="preserve"> 2013.</w:t>
      </w:r>
    </w:p>
  </w:footnote>
  <w:footnote w:id="48">
    <w:p w:rsidR="00826CCF" w:rsidRDefault="00826CCF" w:rsidP="00D86C6B">
      <w:pPr>
        <w:pStyle w:val="Notedebasdepage"/>
        <w:ind w:firstLine="0"/>
        <w:rPr>
          <w:rFonts w:cs="Times New Roman"/>
        </w:rPr>
      </w:pPr>
      <w:r w:rsidRPr="00EB63CB">
        <w:rPr>
          <w:rStyle w:val="Appelnotedebasdep"/>
          <w:rFonts w:cs="Times New Roman"/>
        </w:rPr>
        <w:footnoteRef/>
      </w:r>
      <w:r>
        <w:rPr>
          <w:rFonts w:cs="Times New Roman"/>
        </w:rPr>
        <w:t xml:space="preserve"> LITAMINE </w:t>
      </w:r>
      <w:proofErr w:type="spellStart"/>
      <w:r>
        <w:rPr>
          <w:rFonts w:cs="Times New Roman"/>
        </w:rPr>
        <w:t>Khelifa</w:t>
      </w:r>
      <w:proofErr w:type="spellEnd"/>
      <w:r>
        <w:rPr>
          <w:rFonts w:cs="Times New Roman"/>
        </w:rPr>
        <w:t xml:space="preserve">, </w:t>
      </w:r>
      <w:r w:rsidRPr="00EB63CB">
        <w:rPr>
          <w:rFonts w:cs="Times New Roman"/>
        </w:rPr>
        <w:t>« Les déficits se creusent et les ressources se contractent », Situation financière et monétaire au 1</w:t>
      </w:r>
      <w:r w:rsidRPr="00EB63CB">
        <w:rPr>
          <w:rFonts w:cs="Times New Roman"/>
          <w:vertAlign w:val="superscript"/>
        </w:rPr>
        <w:t>er</w:t>
      </w:r>
      <w:r w:rsidRPr="00EB63CB">
        <w:rPr>
          <w:rFonts w:cs="Times New Roman"/>
        </w:rPr>
        <w:t xml:space="preserve"> semestre 2015, journal électronique : L’</w:t>
      </w:r>
      <w:proofErr w:type="spellStart"/>
      <w:r w:rsidRPr="00EB63CB">
        <w:rPr>
          <w:rFonts w:cs="Times New Roman"/>
        </w:rPr>
        <w:t>Econews</w:t>
      </w:r>
      <w:proofErr w:type="spellEnd"/>
      <w:r w:rsidRPr="00EB63CB">
        <w:rPr>
          <w:rFonts w:cs="Times New Roman"/>
        </w:rPr>
        <w:t>, le 14-07-2015</w:t>
      </w:r>
    </w:p>
  </w:footnote>
  <w:footnote w:id="49">
    <w:p w:rsidR="00826CCF" w:rsidRDefault="00826CCF" w:rsidP="00D86C6B">
      <w:pPr>
        <w:pStyle w:val="Notedebasdepage"/>
        <w:ind w:firstLine="0"/>
        <w:rPr>
          <w:rFonts w:cs="Times New Roman"/>
        </w:rPr>
      </w:pPr>
      <w:r w:rsidRPr="00EB63CB">
        <w:rPr>
          <w:rStyle w:val="Appelnotedebasdep"/>
          <w:rFonts w:cs="Times New Roman"/>
        </w:rPr>
        <w:footnoteRef/>
      </w:r>
      <w:r w:rsidRPr="00EB63CB">
        <w:rPr>
          <w:rFonts w:cs="Times New Roman"/>
        </w:rPr>
        <w:t xml:space="preserve">HASSAM </w:t>
      </w:r>
      <w:proofErr w:type="spellStart"/>
      <w:r w:rsidRPr="00EB63CB">
        <w:rPr>
          <w:rFonts w:cs="Times New Roman"/>
        </w:rPr>
        <w:t>Fodil</w:t>
      </w:r>
      <w:proofErr w:type="spellEnd"/>
      <w:r w:rsidRPr="00EB63CB">
        <w:rPr>
          <w:rFonts w:cs="Times New Roman"/>
        </w:rPr>
        <w:t>, Le système Bancaire Algérien, édition l’économiste d’A</w:t>
      </w:r>
      <w:r>
        <w:rPr>
          <w:rFonts w:cs="Times New Roman"/>
        </w:rPr>
        <w:t>lgérie, Alger, 2012, page 17-18, consulté le 18/8/2015</w:t>
      </w:r>
    </w:p>
  </w:footnote>
  <w:footnote w:id="50">
    <w:p w:rsidR="00826CCF" w:rsidRDefault="00826CCF">
      <w:pPr>
        <w:pStyle w:val="Notedebasdepage"/>
      </w:pPr>
      <w:r>
        <w:rPr>
          <w:rStyle w:val="Appelnotedebasdep"/>
        </w:rPr>
        <w:footnoteRef/>
      </w:r>
      <w:r>
        <w:t xml:space="preserve"> Voir annexe N°XI.</w:t>
      </w:r>
    </w:p>
  </w:footnote>
  <w:footnote w:id="51">
    <w:p w:rsidR="00826CCF" w:rsidRDefault="00826CCF" w:rsidP="00D86C6B">
      <w:pPr>
        <w:pStyle w:val="Notedebasdepage"/>
        <w:rPr>
          <w:rFonts w:cs="Times New Roman"/>
        </w:rPr>
      </w:pPr>
      <w:r w:rsidRPr="00EB63CB">
        <w:rPr>
          <w:rStyle w:val="Appelnotedebasdep"/>
          <w:rFonts w:cs="Times New Roman"/>
        </w:rPr>
        <w:footnoteRef/>
      </w:r>
      <w:r w:rsidRPr="00EB63CB">
        <w:rPr>
          <w:rFonts w:cs="Times New Roman"/>
        </w:rPr>
        <w:t>NAAS</w:t>
      </w:r>
      <w:r>
        <w:rPr>
          <w:rFonts w:cs="Times New Roman"/>
        </w:rPr>
        <w:t xml:space="preserve"> Ab</w:t>
      </w:r>
      <w:r w:rsidRPr="00EB63CB">
        <w:rPr>
          <w:rFonts w:cs="Times New Roman"/>
        </w:rPr>
        <w:t>delkrim, Le système Bancaire Algérien : de la colonisation à l’économie de m</w:t>
      </w:r>
      <w:r>
        <w:rPr>
          <w:rFonts w:cs="Times New Roman"/>
        </w:rPr>
        <w:t xml:space="preserve">arché, </w:t>
      </w:r>
      <w:r w:rsidRPr="00EB63CB">
        <w:rPr>
          <w:rFonts w:cs="Times New Roman"/>
        </w:rPr>
        <w:t>INAS, Paris, 2003, page 298</w:t>
      </w:r>
      <w:r>
        <w:rPr>
          <w:rFonts w:cs="Times New Roman"/>
        </w:rPr>
        <w:t>-299</w:t>
      </w:r>
    </w:p>
  </w:footnote>
  <w:footnote w:id="52">
    <w:p w:rsidR="00826CCF" w:rsidRDefault="00826CCF" w:rsidP="00A96098">
      <w:pPr>
        <w:pStyle w:val="Notedebasdepage"/>
        <w:rPr>
          <w:rFonts w:cs="Times New Roman"/>
        </w:rPr>
      </w:pPr>
      <w:r w:rsidRPr="00EB63CB">
        <w:rPr>
          <w:rStyle w:val="Appelnotedebasdep"/>
          <w:rFonts w:cs="Times New Roman"/>
        </w:rPr>
        <w:footnoteRef/>
      </w:r>
      <w:r w:rsidRPr="00EB63CB">
        <w:rPr>
          <w:rFonts w:cs="Times New Roman"/>
        </w:rPr>
        <w:t xml:space="preserve">Rapport de la banque d’Algérie : </w:t>
      </w:r>
      <w:r>
        <w:rPr>
          <w:rFonts w:cs="Times New Roman"/>
        </w:rPr>
        <w:t>L</w:t>
      </w:r>
      <w:r w:rsidRPr="00EB63CB">
        <w:rPr>
          <w:rFonts w:cs="Times New Roman"/>
        </w:rPr>
        <w:t>a stabilité du système bancaire Algérien 2009-2011</w:t>
      </w:r>
    </w:p>
  </w:footnote>
  <w:footnote w:id="53">
    <w:p w:rsidR="00826CCF" w:rsidRDefault="00826CCF" w:rsidP="00EC2073">
      <w:pPr>
        <w:pStyle w:val="Notedebasdepage"/>
        <w:rPr>
          <w:rFonts w:cs="Times New Roman"/>
        </w:rPr>
      </w:pPr>
      <w:r w:rsidRPr="00EB63CB">
        <w:rPr>
          <w:rStyle w:val="Appelnotedebasdep"/>
          <w:rFonts w:cs="Times New Roman"/>
        </w:rPr>
        <w:footnoteRef/>
      </w:r>
      <w:r w:rsidRPr="00EB63CB">
        <w:rPr>
          <w:rFonts w:cs="Times New Roman"/>
        </w:rPr>
        <w:t xml:space="preserve"> Http//www.algrie-dz.com/article 16466.html, consulté le 12/05/2015</w:t>
      </w:r>
    </w:p>
  </w:footnote>
  <w:footnote w:id="54">
    <w:p w:rsidR="00826CCF" w:rsidRDefault="00826CCF" w:rsidP="00A96098">
      <w:pPr>
        <w:pStyle w:val="Notedebasdepage"/>
        <w:rPr>
          <w:rFonts w:cs="Times New Roman"/>
        </w:rPr>
      </w:pPr>
      <w:r w:rsidRPr="00EB63CB">
        <w:rPr>
          <w:rStyle w:val="Appelnotedebasdep"/>
          <w:rFonts w:cs="Times New Roman"/>
        </w:rPr>
        <w:footnoteRef/>
      </w:r>
      <w:r>
        <w:rPr>
          <w:rFonts w:cs="Times New Roman"/>
        </w:rPr>
        <w:t>Rapport de la banque d’Algérie</w:t>
      </w:r>
      <w:r w:rsidRPr="00EB63CB">
        <w:rPr>
          <w:rFonts w:cs="Times New Roman"/>
        </w:rPr>
        <w:t xml:space="preserve">: </w:t>
      </w:r>
      <w:r>
        <w:rPr>
          <w:rFonts w:cs="Times New Roman"/>
        </w:rPr>
        <w:t>P</w:t>
      </w:r>
      <w:r w:rsidRPr="00EB63CB">
        <w:rPr>
          <w:rFonts w:cs="Times New Roman"/>
        </w:rPr>
        <w:t>olitique monétaire,</w:t>
      </w:r>
      <w:r>
        <w:rPr>
          <w:rFonts w:cs="Times New Roman"/>
        </w:rPr>
        <w:t xml:space="preserve"> 2014,</w:t>
      </w:r>
      <w:r w:rsidRPr="00EB63CB">
        <w:rPr>
          <w:rFonts w:cs="Times New Roman"/>
        </w:rPr>
        <w:t xml:space="preserve"> chapitre 3, p 110, 111.</w:t>
      </w:r>
    </w:p>
  </w:footnote>
  <w:footnote w:id="55">
    <w:p w:rsidR="00826CCF" w:rsidRDefault="00826CCF" w:rsidP="00D86C6B">
      <w:pPr>
        <w:pStyle w:val="Notedebasdepage"/>
        <w:rPr>
          <w:rFonts w:cs="Times New Roman"/>
        </w:rPr>
      </w:pPr>
      <w:r w:rsidRPr="00EB63CB">
        <w:rPr>
          <w:rStyle w:val="Appelnotedebasdep"/>
          <w:rFonts w:cs="Times New Roman"/>
        </w:rPr>
        <w:footnoteRef/>
      </w:r>
      <w:r w:rsidRPr="00EB63CB">
        <w:rPr>
          <w:rFonts w:cs="Times New Roman"/>
        </w:rPr>
        <w:t xml:space="preserve">Rapport de la banque d’Algérie 2014 : </w:t>
      </w:r>
      <w:r>
        <w:rPr>
          <w:rFonts w:cs="Times New Roman"/>
        </w:rPr>
        <w:t>S</w:t>
      </w:r>
      <w:r w:rsidRPr="00EB63CB">
        <w:rPr>
          <w:rFonts w:cs="Times New Roman"/>
        </w:rPr>
        <w:t>ituation mensuelle du marché monétaire.</w:t>
      </w:r>
    </w:p>
  </w:footnote>
  <w:footnote w:id="56">
    <w:p w:rsidR="00826CCF" w:rsidRDefault="00826CCF" w:rsidP="00A96098">
      <w:pPr>
        <w:pStyle w:val="Notedebasdepage"/>
        <w:rPr>
          <w:rFonts w:cs="Times New Roman"/>
        </w:rPr>
      </w:pPr>
      <w:r w:rsidRPr="00EB63CB">
        <w:rPr>
          <w:rStyle w:val="Appelnotedebasdep"/>
          <w:rFonts w:cs="Times New Roman"/>
        </w:rPr>
        <w:footnoteRef/>
      </w:r>
      <w:r w:rsidRPr="00EB63CB">
        <w:rPr>
          <w:rFonts w:cs="Times New Roman"/>
        </w:rPr>
        <w:t>Rapport de la banque d’Alg</w:t>
      </w:r>
      <w:r>
        <w:rPr>
          <w:rFonts w:cs="Times New Roman"/>
        </w:rPr>
        <w:t>érie, S</w:t>
      </w:r>
      <w:r w:rsidRPr="00EB63CB">
        <w:rPr>
          <w:rFonts w:cs="Times New Roman"/>
        </w:rPr>
        <w:t>ituatio</w:t>
      </w:r>
      <w:r>
        <w:rPr>
          <w:rFonts w:cs="Times New Roman"/>
        </w:rPr>
        <w:t>n mensuelle du marché monétaire, 2015</w:t>
      </w:r>
    </w:p>
  </w:footnote>
  <w:footnote w:id="57">
    <w:p w:rsidR="00826CCF" w:rsidRDefault="00826CCF" w:rsidP="00EC2073">
      <w:pPr>
        <w:pStyle w:val="Notedebasdepage"/>
        <w:rPr>
          <w:rFonts w:cs="Times New Roman"/>
        </w:rPr>
      </w:pPr>
      <w:r w:rsidRPr="00EB63CB">
        <w:rPr>
          <w:rStyle w:val="Appelnotedebasdep"/>
          <w:rFonts w:cs="Times New Roman"/>
        </w:rPr>
        <w:footnoteRef/>
      </w:r>
      <w:r w:rsidRPr="00EB63CB">
        <w:rPr>
          <w:rFonts w:cs="Times New Roman"/>
        </w:rPr>
        <w:t xml:space="preserve"> http://www.bank-of-algeria.dz/html/marche3.htm</w:t>
      </w:r>
    </w:p>
  </w:footnote>
  <w:footnote w:id="58">
    <w:p w:rsidR="00826CCF" w:rsidRDefault="00826CCF" w:rsidP="00EC2073">
      <w:pPr>
        <w:pStyle w:val="Notedebasdepage"/>
        <w:rPr>
          <w:rFonts w:cs="Times New Roman"/>
        </w:rPr>
      </w:pPr>
      <w:r w:rsidRPr="00EB63CB">
        <w:rPr>
          <w:rStyle w:val="Appelnotedebasdep"/>
          <w:rFonts w:cs="Times New Roman"/>
        </w:rPr>
        <w:footnoteRef/>
      </w:r>
      <w:r w:rsidRPr="00EB63CB">
        <w:rPr>
          <w:rFonts w:cs="Times New Roman"/>
        </w:rPr>
        <w:t>http://www.liberte-algerie.com/actualite/la-banque-dalgerie-poursuit-la-resorption-de-lexces-de-liquidites-225793/print/1</w:t>
      </w:r>
    </w:p>
  </w:footnote>
  <w:footnote w:id="59">
    <w:p w:rsidR="00826CCF" w:rsidRDefault="00826CCF" w:rsidP="00EC2073">
      <w:pPr>
        <w:pStyle w:val="Notedebasdepage"/>
        <w:rPr>
          <w:rFonts w:cs="Times New Roman"/>
        </w:rPr>
      </w:pPr>
      <w:r w:rsidRPr="00EB63CB">
        <w:rPr>
          <w:rStyle w:val="Appelnotedebasdep"/>
          <w:rFonts w:cs="Times New Roman"/>
        </w:rPr>
        <w:footnoteRef/>
      </w:r>
      <w:hyperlink r:id="rId5" w:history="1">
        <w:r w:rsidRPr="00EB63CB">
          <w:rPr>
            <w:rFonts w:cs="Times New Roman"/>
            <w:color w:val="0000FF"/>
            <w:u w:val="single"/>
            <w:shd w:val="clear" w:color="auto" w:fill="FFFFFF"/>
          </w:rPr>
          <w:t>http://www.bank-of-algeria.dz/html/marche3.htm</w:t>
        </w:r>
      </w:hyperlink>
    </w:p>
  </w:footnote>
  <w:footnote w:id="60">
    <w:p w:rsidR="00826CCF" w:rsidRDefault="00826CCF" w:rsidP="00EC2073">
      <w:pPr>
        <w:pStyle w:val="Notedebasdepage"/>
        <w:rPr>
          <w:rFonts w:cs="Times New Roman"/>
        </w:rPr>
      </w:pPr>
      <w:r w:rsidRPr="00EB63CB">
        <w:rPr>
          <w:rStyle w:val="Appelnotedebasdep"/>
          <w:rFonts w:cs="Times New Roman"/>
        </w:rPr>
        <w:footnoteRef/>
      </w:r>
      <w:r w:rsidRPr="00EB63CB">
        <w:rPr>
          <w:rFonts w:cs="Times New Roman"/>
        </w:rPr>
        <w:t>Rapport de la banque d’Algérie 2014 : situation mensuelle du marché monétaire.</w:t>
      </w:r>
    </w:p>
  </w:footnote>
  <w:footnote w:id="61">
    <w:p w:rsidR="00826CCF" w:rsidRDefault="00826CCF" w:rsidP="00D86C6B">
      <w:pPr>
        <w:pStyle w:val="Notedebasdepage"/>
        <w:rPr>
          <w:rFonts w:cs="Times New Roman"/>
        </w:rPr>
      </w:pPr>
      <w:r w:rsidRPr="00EB63CB">
        <w:rPr>
          <w:rStyle w:val="Appelnotedebasdep"/>
          <w:rFonts w:cs="Times New Roman"/>
        </w:rPr>
        <w:footnoteRef/>
      </w:r>
      <w:r w:rsidRPr="00EB63CB">
        <w:rPr>
          <w:rFonts w:cs="Times New Roman"/>
        </w:rPr>
        <w:t>AFTIS</w:t>
      </w:r>
      <w:r>
        <w:rPr>
          <w:rFonts w:cs="Times New Roman"/>
        </w:rPr>
        <w:t>.</w:t>
      </w:r>
      <w:r w:rsidRPr="00EB63CB">
        <w:rPr>
          <w:rFonts w:cs="Times New Roman"/>
        </w:rPr>
        <w:t>H, pages 111-119, Op Cite</w:t>
      </w:r>
    </w:p>
  </w:footnote>
  <w:footnote w:id="62">
    <w:p w:rsidR="00826CCF" w:rsidRDefault="00826CCF" w:rsidP="00EC2073">
      <w:pPr>
        <w:pStyle w:val="Notedebasdepage"/>
        <w:rPr>
          <w:rFonts w:cs="Times New Roman"/>
        </w:rPr>
      </w:pPr>
      <w:r w:rsidRPr="00EB63CB">
        <w:rPr>
          <w:rStyle w:val="Appelnotedebasdep"/>
          <w:rFonts w:cs="Times New Roman"/>
        </w:rPr>
        <w:footnoteRef/>
      </w:r>
      <w:hyperlink r:id="rId6" w:history="1">
        <w:r w:rsidRPr="00EB63CB">
          <w:rPr>
            <w:rFonts w:cs="Times New Roman"/>
          </w:rPr>
          <w:t>Ratio</w:t>
        </w:r>
      </w:hyperlink>
      <w:r w:rsidRPr="00EB63CB">
        <w:rPr>
          <w:rFonts w:cs="Times New Roman"/>
        </w:rPr>
        <w:t xml:space="preserve">, exprimé en pourcentage, qui mesure la capacité d’une </w:t>
      </w:r>
      <w:hyperlink r:id="rId7" w:history="1">
        <w:r w:rsidRPr="00EB63CB">
          <w:rPr>
            <w:rFonts w:cs="Times New Roman"/>
          </w:rPr>
          <w:t>entreprise</w:t>
        </w:r>
      </w:hyperlink>
      <w:r w:rsidRPr="00EB63CB">
        <w:rPr>
          <w:rFonts w:cs="Times New Roman"/>
        </w:rPr>
        <w:t xml:space="preserve"> à faire face à ses engagements à court avec les </w:t>
      </w:r>
      <w:hyperlink r:id="rId8" w:history="1">
        <w:r w:rsidRPr="00EB63CB">
          <w:rPr>
            <w:rFonts w:cs="Times New Roman"/>
          </w:rPr>
          <w:t>créances</w:t>
        </w:r>
      </w:hyperlink>
      <w:r w:rsidRPr="00EB63CB">
        <w:rPr>
          <w:rFonts w:cs="Times New Roman"/>
        </w:rPr>
        <w:t xml:space="preserve"> à court </w:t>
      </w:r>
      <w:hyperlink r:id="rId9" w:history="1">
        <w:r w:rsidRPr="00EB63CB">
          <w:rPr>
            <w:rFonts w:cs="Times New Roman"/>
          </w:rPr>
          <w:t>terme</w:t>
        </w:r>
      </w:hyperlink>
      <w:r w:rsidRPr="00EB63CB">
        <w:rPr>
          <w:rFonts w:cs="Times New Roman"/>
        </w:rPr>
        <w:t xml:space="preserve"> dont elle est détentrice et ses disponibilités. </w:t>
      </w:r>
      <w:r w:rsidRPr="00EB63CB">
        <w:rPr>
          <w:rFonts w:cs="Times New Roman"/>
        </w:rPr>
        <w:br/>
        <w:t xml:space="preserve">Dans l'absolu, il faut que ce </w:t>
      </w:r>
      <w:hyperlink r:id="rId10" w:history="1">
        <w:r w:rsidRPr="00EB63CB">
          <w:rPr>
            <w:rFonts w:cs="Times New Roman"/>
          </w:rPr>
          <w:t>ratio</w:t>
        </w:r>
      </w:hyperlink>
      <w:r w:rsidRPr="00EB63CB">
        <w:rPr>
          <w:rFonts w:cs="Times New Roman"/>
        </w:rPr>
        <w:t xml:space="preserve"> soit au moins égal à 1 pour assurer la capacité de l'</w:t>
      </w:r>
      <w:hyperlink r:id="rId11" w:history="1">
        <w:r w:rsidRPr="00EB63CB">
          <w:rPr>
            <w:rFonts w:cs="Times New Roman"/>
          </w:rPr>
          <w:t>entreprise</w:t>
        </w:r>
      </w:hyperlink>
      <w:r w:rsidRPr="00EB63CB">
        <w:rPr>
          <w:rFonts w:cs="Times New Roman"/>
        </w:rPr>
        <w:t xml:space="preserve"> à honorer ses engagements à court </w:t>
      </w:r>
      <w:hyperlink r:id="rId12" w:history="1">
        <w:r w:rsidRPr="00EB63CB">
          <w:rPr>
            <w:rFonts w:cs="Times New Roman"/>
          </w:rPr>
          <w:t>terme</w:t>
        </w:r>
      </w:hyperlink>
      <w:r w:rsidRPr="00EB63CB">
        <w:rPr>
          <w:rFonts w:cs="Times New Roman"/>
        </w:rPr>
        <w:t xml:space="preserve"> et donc plus ce </w:t>
      </w:r>
      <w:hyperlink r:id="rId13" w:history="1">
        <w:r w:rsidRPr="00EB63CB">
          <w:rPr>
            <w:rFonts w:cs="Times New Roman"/>
          </w:rPr>
          <w:t>ratio</w:t>
        </w:r>
      </w:hyperlink>
      <w:r w:rsidRPr="00EB63CB">
        <w:rPr>
          <w:rFonts w:cs="Times New Roman"/>
        </w:rPr>
        <w:t xml:space="preserve"> est élevé, plus l'</w:t>
      </w:r>
      <w:hyperlink r:id="rId14" w:history="1">
        <w:r w:rsidRPr="00EB63CB">
          <w:rPr>
            <w:rFonts w:cs="Times New Roman"/>
          </w:rPr>
          <w:t>entreprise</w:t>
        </w:r>
      </w:hyperlink>
      <w:r w:rsidRPr="00EB63CB">
        <w:rPr>
          <w:rFonts w:cs="Times New Roman"/>
        </w:rPr>
        <w:t xml:space="preserve"> est en théorie à même de faire face à ses engagements à court </w:t>
      </w:r>
      <w:hyperlink r:id="rId15" w:history="1">
        <w:r w:rsidRPr="00EB63CB">
          <w:rPr>
            <w:rFonts w:cs="Times New Roman"/>
          </w:rPr>
          <w:t>terme</w:t>
        </w:r>
      </w:hyperlink>
      <w:r w:rsidRPr="00EB63CB">
        <w:rPr>
          <w:rFonts w:cs="Times New Roman"/>
        </w:rPr>
        <w:t>.</w:t>
      </w:r>
    </w:p>
  </w:footnote>
  <w:footnote w:id="63">
    <w:p w:rsidR="00826CCF" w:rsidRDefault="00826CCF" w:rsidP="00D86C6B">
      <w:pPr>
        <w:pStyle w:val="Notedebasdepage"/>
        <w:rPr>
          <w:rFonts w:cs="Times New Roman"/>
        </w:rPr>
      </w:pPr>
      <w:r w:rsidRPr="00EB63CB">
        <w:rPr>
          <w:rStyle w:val="Appelnotedebasdep"/>
          <w:rFonts w:cs="Times New Roman"/>
        </w:rPr>
        <w:footnoteRef/>
      </w:r>
      <w:r w:rsidRPr="00EB63CB">
        <w:rPr>
          <w:rFonts w:cs="Times New Roman"/>
        </w:rPr>
        <w:t xml:space="preserve"> BERNET-</w:t>
      </w:r>
      <w:proofErr w:type="spellStart"/>
      <w:r w:rsidRPr="00EB63CB">
        <w:rPr>
          <w:rFonts w:cs="Times New Roman"/>
        </w:rPr>
        <w:t>ROLLANDELuc</w:t>
      </w:r>
      <w:proofErr w:type="spellEnd"/>
      <w:r w:rsidRPr="00EB63CB">
        <w:rPr>
          <w:rFonts w:cs="Times New Roman"/>
        </w:rPr>
        <w:t xml:space="preserve">, </w:t>
      </w:r>
      <w:r>
        <w:rPr>
          <w:rFonts w:cs="Times New Roman"/>
        </w:rPr>
        <w:t>P</w:t>
      </w:r>
      <w:r w:rsidRPr="00EB63CB">
        <w:rPr>
          <w:rFonts w:cs="Times New Roman"/>
        </w:rPr>
        <w:t xml:space="preserve">rincipe </w:t>
      </w:r>
      <w:r>
        <w:rPr>
          <w:rFonts w:cs="Times New Roman"/>
        </w:rPr>
        <w:t xml:space="preserve">et </w:t>
      </w:r>
      <w:r w:rsidRPr="00EB63CB">
        <w:rPr>
          <w:rFonts w:cs="Times New Roman"/>
        </w:rPr>
        <w:t xml:space="preserve"> techniques bancaire, 25</w:t>
      </w:r>
      <w:r w:rsidRPr="00EB63CB">
        <w:rPr>
          <w:rFonts w:cs="Times New Roman"/>
          <w:vertAlign w:val="superscript"/>
        </w:rPr>
        <w:t>e</w:t>
      </w:r>
      <w:r w:rsidRPr="00EB63CB">
        <w:rPr>
          <w:rFonts w:cs="Times New Roman"/>
        </w:rPr>
        <w:t xml:space="preserve"> Edition </w:t>
      </w:r>
      <w:proofErr w:type="spellStart"/>
      <w:r w:rsidRPr="00EB63CB">
        <w:rPr>
          <w:rFonts w:cs="Times New Roman"/>
        </w:rPr>
        <w:t>Dunod</w:t>
      </w:r>
      <w:proofErr w:type="spellEnd"/>
      <w:r w:rsidRPr="00EB63CB">
        <w:rPr>
          <w:rFonts w:cs="Times New Roman"/>
        </w:rPr>
        <w:t>, Paris 2008.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BE080A" w:rsidRDefault="00826CCF" w:rsidP="00BE080A">
    <w:pPr>
      <w:pStyle w:val="En-tte"/>
      <w:ind w:firstLine="0"/>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BC0DD4" w:rsidRDefault="00826CCF" w:rsidP="00950AFE">
    <w:pPr>
      <w:pStyle w:val="En-tte"/>
      <w:pBdr>
        <w:bottom w:val="thickThinSmallGap" w:sz="24" w:space="1" w:color="622423"/>
      </w:pBdr>
      <w:spacing w:before="0"/>
      <w:jc w:val="right"/>
      <w:rPr>
        <w:rFonts w:ascii="Cambria" w:hAnsi="Cambria" w:cs="Cambria"/>
        <w:i/>
        <w:sz w:val="22"/>
      </w:rPr>
    </w:pPr>
    <w:r w:rsidRPr="00BC0DD4">
      <w:rPr>
        <w:rFonts w:cs="Times New Roman"/>
        <w:b/>
        <w:bCs/>
        <w:i/>
        <w:sz w:val="22"/>
      </w:rPr>
      <w:t xml:space="preserve">Conclusion générale. </w:t>
    </w:r>
  </w:p>
  <w:p w:rsidR="00826CCF" w:rsidRDefault="00826CCF">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BC0DD4" w:rsidRDefault="00826CCF" w:rsidP="00950AFE">
    <w:pPr>
      <w:pStyle w:val="En-tte"/>
      <w:pBdr>
        <w:bottom w:val="thickThinSmallGap" w:sz="24" w:space="1" w:color="622423"/>
      </w:pBdr>
      <w:spacing w:before="0"/>
      <w:jc w:val="right"/>
      <w:rPr>
        <w:rFonts w:ascii="Cambria" w:hAnsi="Cambria" w:cs="Cambria"/>
        <w:i/>
        <w:sz w:val="22"/>
      </w:rPr>
    </w:pPr>
    <w:r>
      <w:rPr>
        <w:rFonts w:cs="Times New Roman"/>
        <w:b/>
        <w:bCs/>
        <w:i/>
        <w:sz w:val="22"/>
      </w:rPr>
      <w:t>Annexes</w:t>
    </w:r>
  </w:p>
  <w:p w:rsidR="00826CCF" w:rsidRDefault="00826CCF">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BC0DD4" w:rsidRDefault="00826CCF" w:rsidP="00950AFE">
    <w:pPr>
      <w:pStyle w:val="En-tte"/>
      <w:pBdr>
        <w:bottom w:val="thickThinSmallGap" w:sz="24" w:space="1" w:color="622423"/>
      </w:pBdr>
      <w:spacing w:before="0"/>
      <w:jc w:val="right"/>
      <w:rPr>
        <w:rFonts w:ascii="Cambria" w:hAnsi="Cambria" w:cs="Cambria"/>
        <w:i/>
        <w:sz w:val="22"/>
      </w:rPr>
    </w:pPr>
    <w:r>
      <w:rPr>
        <w:rFonts w:cs="Times New Roman"/>
        <w:b/>
        <w:bCs/>
        <w:i/>
        <w:sz w:val="22"/>
      </w:rPr>
      <w:t>Annexes</w:t>
    </w:r>
  </w:p>
  <w:p w:rsidR="00826CCF" w:rsidRDefault="00826CCF">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BC0DD4" w:rsidRDefault="00826CCF" w:rsidP="00AF7273">
    <w:pPr>
      <w:pStyle w:val="En-tte"/>
      <w:pBdr>
        <w:bottom w:val="thickThinSmallGap" w:sz="24" w:space="0" w:color="622423"/>
      </w:pBdr>
      <w:spacing w:before="0"/>
      <w:jc w:val="right"/>
      <w:rPr>
        <w:rFonts w:ascii="Cambria" w:hAnsi="Cambria" w:cs="Cambria"/>
        <w:i/>
        <w:sz w:val="22"/>
      </w:rPr>
    </w:pPr>
    <w:r>
      <w:rPr>
        <w:rFonts w:cs="Times New Roman"/>
        <w:b/>
        <w:bCs/>
        <w:i/>
        <w:sz w:val="22"/>
      </w:rPr>
      <w:t>Liste des graphes</w:t>
    </w:r>
  </w:p>
  <w:p w:rsidR="00826CCF" w:rsidRDefault="00826CCF">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BC0DD4" w:rsidRDefault="00826CCF" w:rsidP="00950AFE">
    <w:pPr>
      <w:pStyle w:val="En-tte"/>
      <w:pBdr>
        <w:bottom w:val="thickThinSmallGap" w:sz="24" w:space="1" w:color="622423"/>
      </w:pBdr>
      <w:spacing w:before="0"/>
      <w:jc w:val="right"/>
      <w:rPr>
        <w:rFonts w:ascii="Cambria" w:hAnsi="Cambria" w:cs="Cambria"/>
        <w:i/>
        <w:sz w:val="22"/>
      </w:rPr>
    </w:pPr>
    <w:r w:rsidRPr="00BC0DD4">
      <w:rPr>
        <w:rFonts w:cs="Times New Roman"/>
        <w:b/>
        <w:bCs/>
        <w:i/>
        <w:sz w:val="22"/>
      </w:rPr>
      <w:t xml:space="preserve">Liste des tableaux. </w:t>
    </w:r>
  </w:p>
  <w:p w:rsidR="00826CCF" w:rsidRDefault="00826CCF">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BC0DD4" w:rsidRDefault="00826CCF" w:rsidP="00A03CE9">
    <w:pPr>
      <w:pStyle w:val="En-tte"/>
      <w:pBdr>
        <w:bottom w:val="thickThinSmallGap" w:sz="24" w:space="1" w:color="622423"/>
      </w:pBdr>
      <w:spacing w:before="0"/>
      <w:jc w:val="right"/>
      <w:rPr>
        <w:rFonts w:ascii="Cambria" w:hAnsi="Cambria" w:cs="Cambria"/>
        <w:i/>
        <w:sz w:val="22"/>
      </w:rPr>
    </w:pPr>
    <w:r w:rsidRPr="00BC0DD4">
      <w:rPr>
        <w:rFonts w:cs="Times New Roman"/>
        <w:b/>
        <w:bCs/>
        <w:i/>
        <w:sz w:val="22"/>
      </w:rPr>
      <w:t xml:space="preserve">Liste des </w:t>
    </w:r>
    <w:r>
      <w:rPr>
        <w:rFonts w:cs="Times New Roman"/>
        <w:b/>
        <w:bCs/>
        <w:i/>
        <w:sz w:val="22"/>
      </w:rPr>
      <w:t>Annexes</w:t>
    </w:r>
    <w:r w:rsidRPr="00BC0DD4">
      <w:rPr>
        <w:rFonts w:cs="Times New Roman"/>
        <w:b/>
        <w:bCs/>
        <w:i/>
        <w:sz w:val="22"/>
      </w:rPr>
      <w:t xml:space="preserve">. </w:t>
    </w:r>
  </w:p>
  <w:p w:rsidR="00826CCF" w:rsidRDefault="00826CCF">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950AFE" w:rsidRDefault="00826CCF" w:rsidP="00950AFE">
    <w:pPr>
      <w:pStyle w:val="En-tte"/>
      <w:pBdr>
        <w:bottom w:val="thickThinSmallGap" w:sz="24" w:space="1" w:color="622423"/>
      </w:pBdr>
      <w:spacing w:before="0"/>
      <w:jc w:val="right"/>
      <w:rPr>
        <w:rFonts w:ascii="Cambria" w:hAnsi="Cambria" w:cs="Cambria"/>
        <w:i/>
        <w:sz w:val="20"/>
        <w:szCs w:val="20"/>
      </w:rPr>
    </w:pPr>
    <w:r>
      <w:rPr>
        <w:rFonts w:cs="Times New Roman"/>
        <w:b/>
        <w:bCs/>
        <w:i/>
        <w:sz w:val="20"/>
        <w:szCs w:val="20"/>
      </w:rPr>
      <w:t xml:space="preserve">Bibliographie </w:t>
    </w:r>
  </w:p>
  <w:p w:rsidR="00826CCF" w:rsidRDefault="00826CCF">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950AFE" w:rsidRDefault="00826CCF" w:rsidP="00950AFE">
    <w:pPr>
      <w:pStyle w:val="En-tte"/>
      <w:pBdr>
        <w:bottom w:val="thickThinSmallGap" w:sz="24" w:space="1" w:color="622423"/>
      </w:pBdr>
      <w:spacing w:before="0"/>
      <w:jc w:val="right"/>
      <w:rPr>
        <w:rFonts w:ascii="Cambria" w:hAnsi="Cambria" w:cs="Cambria"/>
        <w:i/>
        <w:sz w:val="20"/>
        <w:szCs w:val="20"/>
      </w:rPr>
    </w:pPr>
    <w:r>
      <w:rPr>
        <w:rFonts w:cs="Times New Roman"/>
        <w:b/>
        <w:bCs/>
        <w:i/>
        <w:sz w:val="20"/>
        <w:szCs w:val="20"/>
      </w:rPr>
      <w:t>Table des matières</w:t>
    </w:r>
  </w:p>
  <w:p w:rsidR="00826CCF" w:rsidRDefault="00826CCF">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9A55FB" w:rsidRDefault="00826CCF" w:rsidP="00BE080A">
    <w:pPr>
      <w:pStyle w:val="En-tte"/>
      <w:pBdr>
        <w:bottom w:val="thickThinSmallGap" w:sz="24" w:space="1" w:color="622423"/>
      </w:pBdr>
      <w:spacing w:before="0"/>
      <w:jc w:val="right"/>
      <w:rPr>
        <w:rFonts w:ascii="Cambria" w:hAnsi="Cambria" w:cs="Cambria"/>
        <w:i/>
        <w:sz w:val="22"/>
      </w:rPr>
    </w:pPr>
    <w:r w:rsidRPr="009A55FB">
      <w:rPr>
        <w:rFonts w:cs="Times New Roman"/>
        <w:b/>
        <w:bCs/>
        <w:i/>
        <w:sz w:val="22"/>
      </w:rPr>
      <w:t>Remerciements</w:t>
    </w:r>
  </w:p>
  <w:p w:rsidR="00826CCF" w:rsidRPr="00BE080A" w:rsidRDefault="00826CCF" w:rsidP="00BE080A">
    <w:pPr>
      <w:pStyle w:val="En-tte"/>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9A55FB" w:rsidRDefault="00826CCF" w:rsidP="00BE080A">
    <w:pPr>
      <w:pStyle w:val="En-tte"/>
      <w:pBdr>
        <w:bottom w:val="thickThinSmallGap" w:sz="24" w:space="1" w:color="622423"/>
      </w:pBdr>
      <w:spacing w:before="0"/>
      <w:jc w:val="right"/>
      <w:rPr>
        <w:rFonts w:ascii="Cambria" w:hAnsi="Cambria" w:cs="Cambria"/>
        <w:i/>
        <w:sz w:val="22"/>
      </w:rPr>
    </w:pPr>
    <w:r>
      <w:rPr>
        <w:rFonts w:cs="Times New Roman"/>
        <w:b/>
        <w:bCs/>
        <w:i/>
        <w:sz w:val="22"/>
      </w:rPr>
      <w:t>Dédicaces</w:t>
    </w:r>
  </w:p>
  <w:p w:rsidR="00826CCF" w:rsidRPr="00BE080A" w:rsidRDefault="00826CCF" w:rsidP="00BE080A">
    <w:pPr>
      <w:pStyle w:val="En-tte"/>
      <w:ind w:firstLine="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9A55FB" w:rsidRDefault="00826CCF" w:rsidP="009A55FB">
    <w:pPr>
      <w:pStyle w:val="En-tte"/>
      <w:pBdr>
        <w:bottom w:val="thickThinSmallGap" w:sz="24" w:space="1" w:color="622423"/>
      </w:pBdr>
      <w:spacing w:before="0"/>
      <w:jc w:val="right"/>
      <w:rPr>
        <w:rFonts w:ascii="Cambria" w:hAnsi="Cambria" w:cs="Cambria"/>
        <w:i/>
        <w:sz w:val="22"/>
      </w:rPr>
    </w:pPr>
    <w:r w:rsidRPr="009A55FB">
      <w:rPr>
        <w:rFonts w:cs="Times New Roman"/>
        <w:b/>
        <w:bCs/>
        <w:i/>
        <w:sz w:val="22"/>
      </w:rPr>
      <w:t>Liste des abréviations</w:t>
    </w:r>
  </w:p>
  <w:p w:rsidR="00826CCF" w:rsidRDefault="00826CCF" w:rsidP="009A55FB">
    <w:pPr>
      <w:pStyle w:val="En-tte"/>
      <w:ind w:firstLine="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Default="00826CCF">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136E74" w:rsidRDefault="00826CCF" w:rsidP="00984D00">
    <w:pPr>
      <w:pStyle w:val="En-tte"/>
      <w:pBdr>
        <w:bottom w:val="thickThinSmallGap" w:sz="24" w:space="1" w:color="622423"/>
      </w:pBdr>
      <w:spacing w:before="0"/>
      <w:jc w:val="right"/>
      <w:rPr>
        <w:rFonts w:ascii="Cambria" w:hAnsi="Cambria" w:cs="Cambria"/>
        <w:i/>
        <w:sz w:val="22"/>
      </w:rPr>
    </w:pPr>
    <w:r>
      <w:rPr>
        <w:rFonts w:cs="Times New Roman"/>
        <w:b/>
        <w:bCs/>
        <w:i/>
        <w:sz w:val="22"/>
      </w:rPr>
      <w:t xml:space="preserve">Introduction générale. </w:t>
    </w:r>
  </w:p>
  <w:p w:rsidR="00826CCF" w:rsidRDefault="00826CCF">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136E74" w:rsidRDefault="00826CCF" w:rsidP="00984D00">
    <w:pPr>
      <w:pStyle w:val="En-tte"/>
      <w:pBdr>
        <w:bottom w:val="thickThinSmallGap" w:sz="24" w:space="1" w:color="622423"/>
      </w:pBdr>
      <w:spacing w:before="0"/>
      <w:jc w:val="right"/>
      <w:rPr>
        <w:rFonts w:ascii="Cambria" w:hAnsi="Cambria" w:cs="Cambria"/>
        <w:i/>
        <w:sz w:val="22"/>
      </w:rPr>
    </w:pPr>
    <w:r w:rsidRPr="00136E74">
      <w:rPr>
        <w:rFonts w:cs="Times New Roman"/>
        <w:b/>
        <w:bCs/>
        <w:i/>
        <w:sz w:val="22"/>
      </w:rPr>
      <w:t>CHAPITRE I : Le système bancaire algérien et la notion de la liquidité</w:t>
    </w:r>
    <w:r>
      <w:rPr>
        <w:rFonts w:cs="Times New Roman"/>
        <w:b/>
        <w:bCs/>
        <w:i/>
        <w:sz w:val="22"/>
      </w:rPr>
      <w:t xml:space="preserve">. </w:t>
    </w:r>
  </w:p>
  <w:p w:rsidR="00826CCF" w:rsidRDefault="00826CCF">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984D00" w:rsidRDefault="00826CCF" w:rsidP="00984D00">
    <w:pPr>
      <w:pStyle w:val="En-tte"/>
      <w:pBdr>
        <w:bottom w:val="thickThinSmallGap" w:sz="24" w:space="1" w:color="622423"/>
      </w:pBdr>
      <w:spacing w:before="0"/>
      <w:jc w:val="right"/>
      <w:rPr>
        <w:rFonts w:ascii="Cambria" w:hAnsi="Cambria" w:cs="Cambria"/>
        <w:i/>
        <w:sz w:val="20"/>
        <w:szCs w:val="20"/>
      </w:rPr>
    </w:pPr>
    <w:r w:rsidRPr="00950AFE">
      <w:rPr>
        <w:rFonts w:cs="Times New Roman"/>
        <w:b/>
        <w:bCs/>
        <w:i/>
        <w:sz w:val="20"/>
        <w:szCs w:val="20"/>
      </w:rPr>
      <w:t>Chapitre II : Indicateurs et conséquences de la surliquidité bancaire en Algérie</w:t>
    </w:r>
    <w:r>
      <w:rPr>
        <w:rFonts w:cs="Times New Roman"/>
        <w:b/>
        <w:bCs/>
        <w:i/>
        <w:sz w:val="20"/>
        <w:szCs w:val="20"/>
      </w:rPr>
      <w:t xml:space="preserve">. </w:t>
    </w:r>
  </w:p>
  <w:p w:rsidR="00826CCF" w:rsidRDefault="00826CCF">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CCF" w:rsidRPr="00950AFE" w:rsidRDefault="00826CCF" w:rsidP="00950AFE">
    <w:pPr>
      <w:pStyle w:val="En-tte"/>
      <w:pBdr>
        <w:bottom w:val="thickThinSmallGap" w:sz="24" w:space="1" w:color="622423"/>
      </w:pBdr>
      <w:spacing w:before="0"/>
      <w:jc w:val="right"/>
      <w:rPr>
        <w:rFonts w:ascii="Cambria" w:hAnsi="Cambria" w:cs="Cambria"/>
        <w:i/>
        <w:sz w:val="20"/>
        <w:szCs w:val="20"/>
      </w:rPr>
    </w:pPr>
    <w:r w:rsidRPr="00950AFE">
      <w:rPr>
        <w:rFonts w:cs="Times New Roman"/>
        <w:b/>
        <w:bCs/>
        <w:i/>
        <w:sz w:val="20"/>
        <w:szCs w:val="20"/>
      </w:rPr>
      <w:t>Chapitre III : Les facteurs de la surliquidité bancaire et les mesures de sa gestion</w:t>
    </w:r>
    <w:r>
      <w:rPr>
        <w:rFonts w:cs="Times New Roman"/>
        <w:b/>
        <w:bCs/>
        <w:i/>
        <w:sz w:val="20"/>
        <w:szCs w:val="20"/>
      </w:rPr>
      <w:t xml:space="preserve">. </w:t>
    </w:r>
  </w:p>
  <w:p w:rsidR="00826CCF" w:rsidRDefault="00826CCF">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C5A9C"/>
    <w:multiLevelType w:val="hybridMultilevel"/>
    <w:tmpl w:val="6E5E81AC"/>
    <w:lvl w:ilvl="0" w:tplc="B4B069DA">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EF5B6E"/>
    <w:multiLevelType w:val="hybridMultilevel"/>
    <w:tmpl w:val="3112E4B8"/>
    <w:lvl w:ilvl="0" w:tplc="040C0001">
      <w:start w:val="1"/>
      <w:numFmt w:val="bullet"/>
      <w:lvlText w:val=""/>
      <w:lvlJc w:val="left"/>
      <w:pPr>
        <w:ind w:left="766" w:hanging="360"/>
      </w:pPr>
      <w:rPr>
        <w:rFonts w:ascii="Symbol" w:hAnsi="Symbol" w:hint="default"/>
      </w:rPr>
    </w:lvl>
    <w:lvl w:ilvl="1" w:tplc="040C0003">
      <w:start w:val="1"/>
      <w:numFmt w:val="bullet"/>
      <w:lvlText w:val="o"/>
      <w:lvlJc w:val="left"/>
      <w:pPr>
        <w:ind w:left="1486" w:hanging="360"/>
      </w:pPr>
      <w:rPr>
        <w:rFonts w:ascii="Courier New" w:hAnsi="Courier New" w:cs="Courier New" w:hint="default"/>
      </w:rPr>
    </w:lvl>
    <w:lvl w:ilvl="2" w:tplc="040C0005">
      <w:start w:val="1"/>
      <w:numFmt w:val="bullet"/>
      <w:lvlText w:val=""/>
      <w:lvlJc w:val="left"/>
      <w:pPr>
        <w:ind w:left="2206" w:hanging="360"/>
      </w:pPr>
      <w:rPr>
        <w:rFonts w:ascii="Wingdings" w:hAnsi="Wingdings" w:cs="Wingdings" w:hint="default"/>
      </w:rPr>
    </w:lvl>
    <w:lvl w:ilvl="3" w:tplc="040C0001">
      <w:start w:val="1"/>
      <w:numFmt w:val="bullet"/>
      <w:lvlText w:val=""/>
      <w:lvlJc w:val="left"/>
      <w:pPr>
        <w:ind w:left="2926" w:hanging="360"/>
      </w:pPr>
      <w:rPr>
        <w:rFonts w:ascii="Symbol" w:hAnsi="Symbol" w:cs="Symbol" w:hint="default"/>
      </w:rPr>
    </w:lvl>
    <w:lvl w:ilvl="4" w:tplc="040C0003">
      <w:start w:val="1"/>
      <w:numFmt w:val="bullet"/>
      <w:lvlText w:val="o"/>
      <w:lvlJc w:val="left"/>
      <w:pPr>
        <w:ind w:left="3646" w:hanging="360"/>
      </w:pPr>
      <w:rPr>
        <w:rFonts w:ascii="Courier New" w:hAnsi="Courier New" w:cs="Courier New" w:hint="default"/>
      </w:rPr>
    </w:lvl>
    <w:lvl w:ilvl="5" w:tplc="040C0005">
      <w:start w:val="1"/>
      <w:numFmt w:val="bullet"/>
      <w:lvlText w:val=""/>
      <w:lvlJc w:val="left"/>
      <w:pPr>
        <w:ind w:left="4366" w:hanging="360"/>
      </w:pPr>
      <w:rPr>
        <w:rFonts w:ascii="Wingdings" w:hAnsi="Wingdings" w:cs="Wingdings" w:hint="default"/>
      </w:rPr>
    </w:lvl>
    <w:lvl w:ilvl="6" w:tplc="040C0001">
      <w:start w:val="1"/>
      <w:numFmt w:val="bullet"/>
      <w:lvlText w:val=""/>
      <w:lvlJc w:val="left"/>
      <w:pPr>
        <w:ind w:left="5086" w:hanging="360"/>
      </w:pPr>
      <w:rPr>
        <w:rFonts w:ascii="Symbol" w:hAnsi="Symbol" w:cs="Symbol" w:hint="default"/>
      </w:rPr>
    </w:lvl>
    <w:lvl w:ilvl="7" w:tplc="040C0003">
      <w:start w:val="1"/>
      <w:numFmt w:val="bullet"/>
      <w:lvlText w:val="o"/>
      <w:lvlJc w:val="left"/>
      <w:pPr>
        <w:ind w:left="5806" w:hanging="360"/>
      </w:pPr>
      <w:rPr>
        <w:rFonts w:ascii="Courier New" w:hAnsi="Courier New" w:cs="Courier New" w:hint="default"/>
      </w:rPr>
    </w:lvl>
    <w:lvl w:ilvl="8" w:tplc="040C0005">
      <w:start w:val="1"/>
      <w:numFmt w:val="bullet"/>
      <w:lvlText w:val=""/>
      <w:lvlJc w:val="left"/>
      <w:pPr>
        <w:ind w:left="6526" w:hanging="360"/>
      </w:pPr>
      <w:rPr>
        <w:rFonts w:ascii="Wingdings" w:hAnsi="Wingdings" w:cs="Wingdings" w:hint="default"/>
      </w:rPr>
    </w:lvl>
  </w:abstractNum>
  <w:abstractNum w:abstractNumId="2">
    <w:nsid w:val="0ADE08F0"/>
    <w:multiLevelType w:val="hybridMultilevel"/>
    <w:tmpl w:val="6EF4EDC6"/>
    <w:lvl w:ilvl="0" w:tplc="0E7E74A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040251D"/>
    <w:multiLevelType w:val="multilevel"/>
    <w:tmpl w:val="F586A586"/>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2E34F83"/>
    <w:multiLevelType w:val="hybridMultilevel"/>
    <w:tmpl w:val="C9D0AE52"/>
    <w:lvl w:ilvl="0" w:tplc="A6EC32B4">
      <w:start w:val="1"/>
      <w:numFmt w:val="decimal"/>
      <w:lvlText w:val="%1-"/>
      <w:lvlJc w:val="left"/>
      <w:pPr>
        <w:ind w:left="1068" w:hanging="360"/>
      </w:pPr>
      <w:rPr>
        <w:rFonts w:hint="default"/>
        <w:sz w:val="28"/>
        <w:szCs w:val="28"/>
      </w:rPr>
    </w:lvl>
    <w:lvl w:ilvl="1" w:tplc="040C0019">
      <w:start w:val="1"/>
      <w:numFmt w:val="lowerLetter"/>
      <w:lvlText w:val="%2."/>
      <w:lvlJc w:val="left"/>
      <w:pPr>
        <w:ind w:left="1788" w:hanging="360"/>
      </w:pPr>
    </w:lvl>
    <w:lvl w:ilvl="2" w:tplc="040C001B">
      <w:start w:val="1"/>
      <w:numFmt w:val="lowerRoman"/>
      <w:lvlText w:val="%3."/>
      <w:lvlJc w:val="right"/>
      <w:pPr>
        <w:ind w:left="2508" w:hanging="180"/>
      </w:pPr>
    </w:lvl>
    <w:lvl w:ilvl="3" w:tplc="040C000F">
      <w:start w:val="1"/>
      <w:numFmt w:val="decimal"/>
      <w:lvlText w:val="%4."/>
      <w:lvlJc w:val="left"/>
      <w:pPr>
        <w:ind w:left="3228" w:hanging="360"/>
      </w:pPr>
    </w:lvl>
    <w:lvl w:ilvl="4" w:tplc="040C0019">
      <w:start w:val="1"/>
      <w:numFmt w:val="lowerLetter"/>
      <w:lvlText w:val="%5."/>
      <w:lvlJc w:val="left"/>
      <w:pPr>
        <w:ind w:left="3948" w:hanging="360"/>
      </w:pPr>
    </w:lvl>
    <w:lvl w:ilvl="5" w:tplc="040C001B">
      <w:start w:val="1"/>
      <w:numFmt w:val="lowerRoman"/>
      <w:lvlText w:val="%6."/>
      <w:lvlJc w:val="right"/>
      <w:pPr>
        <w:ind w:left="4668" w:hanging="180"/>
      </w:pPr>
    </w:lvl>
    <w:lvl w:ilvl="6" w:tplc="040C000F">
      <w:start w:val="1"/>
      <w:numFmt w:val="decimal"/>
      <w:lvlText w:val="%7."/>
      <w:lvlJc w:val="left"/>
      <w:pPr>
        <w:ind w:left="5388" w:hanging="360"/>
      </w:pPr>
    </w:lvl>
    <w:lvl w:ilvl="7" w:tplc="040C0019">
      <w:start w:val="1"/>
      <w:numFmt w:val="lowerLetter"/>
      <w:lvlText w:val="%8."/>
      <w:lvlJc w:val="left"/>
      <w:pPr>
        <w:ind w:left="6108" w:hanging="360"/>
      </w:pPr>
    </w:lvl>
    <w:lvl w:ilvl="8" w:tplc="040C001B">
      <w:start w:val="1"/>
      <w:numFmt w:val="lowerRoman"/>
      <w:lvlText w:val="%9."/>
      <w:lvlJc w:val="right"/>
      <w:pPr>
        <w:ind w:left="6828" w:hanging="180"/>
      </w:pPr>
    </w:lvl>
  </w:abstractNum>
  <w:abstractNum w:abstractNumId="5">
    <w:nsid w:val="15D41612"/>
    <w:multiLevelType w:val="multilevel"/>
    <w:tmpl w:val="2460FA1E"/>
    <w:lvl w:ilvl="0">
      <w:start w:val="2"/>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72D56B2"/>
    <w:multiLevelType w:val="hybridMultilevel"/>
    <w:tmpl w:val="F3B06BFE"/>
    <w:lvl w:ilvl="0" w:tplc="040C000F">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7E42BEB"/>
    <w:multiLevelType w:val="hybridMultilevel"/>
    <w:tmpl w:val="261A01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ACE7DA1"/>
    <w:multiLevelType w:val="hybridMultilevel"/>
    <w:tmpl w:val="ED04754E"/>
    <w:lvl w:ilvl="0" w:tplc="9A38046A">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AF139D4"/>
    <w:multiLevelType w:val="hybridMultilevel"/>
    <w:tmpl w:val="C9D0AE52"/>
    <w:lvl w:ilvl="0" w:tplc="A6EC32B4">
      <w:start w:val="1"/>
      <w:numFmt w:val="decimal"/>
      <w:lvlText w:val="%1-"/>
      <w:lvlJc w:val="left"/>
      <w:pPr>
        <w:ind w:left="1068" w:hanging="360"/>
      </w:pPr>
      <w:rPr>
        <w:rFonts w:hint="default"/>
        <w:sz w:val="28"/>
        <w:szCs w:val="28"/>
      </w:rPr>
    </w:lvl>
    <w:lvl w:ilvl="1" w:tplc="040C0019">
      <w:start w:val="1"/>
      <w:numFmt w:val="lowerLetter"/>
      <w:lvlText w:val="%2."/>
      <w:lvlJc w:val="left"/>
      <w:pPr>
        <w:ind w:left="1788" w:hanging="360"/>
      </w:pPr>
    </w:lvl>
    <w:lvl w:ilvl="2" w:tplc="040C001B">
      <w:start w:val="1"/>
      <w:numFmt w:val="lowerRoman"/>
      <w:lvlText w:val="%3."/>
      <w:lvlJc w:val="right"/>
      <w:pPr>
        <w:ind w:left="2508" w:hanging="180"/>
      </w:pPr>
    </w:lvl>
    <w:lvl w:ilvl="3" w:tplc="040C000F">
      <w:start w:val="1"/>
      <w:numFmt w:val="decimal"/>
      <w:lvlText w:val="%4."/>
      <w:lvlJc w:val="left"/>
      <w:pPr>
        <w:ind w:left="3228" w:hanging="360"/>
      </w:pPr>
    </w:lvl>
    <w:lvl w:ilvl="4" w:tplc="040C0019">
      <w:start w:val="1"/>
      <w:numFmt w:val="lowerLetter"/>
      <w:lvlText w:val="%5."/>
      <w:lvlJc w:val="left"/>
      <w:pPr>
        <w:ind w:left="3948" w:hanging="360"/>
      </w:pPr>
    </w:lvl>
    <w:lvl w:ilvl="5" w:tplc="040C001B">
      <w:start w:val="1"/>
      <w:numFmt w:val="lowerRoman"/>
      <w:lvlText w:val="%6."/>
      <w:lvlJc w:val="right"/>
      <w:pPr>
        <w:ind w:left="4668" w:hanging="180"/>
      </w:pPr>
    </w:lvl>
    <w:lvl w:ilvl="6" w:tplc="040C000F">
      <w:start w:val="1"/>
      <w:numFmt w:val="decimal"/>
      <w:lvlText w:val="%7."/>
      <w:lvlJc w:val="left"/>
      <w:pPr>
        <w:ind w:left="5388" w:hanging="360"/>
      </w:pPr>
    </w:lvl>
    <w:lvl w:ilvl="7" w:tplc="040C0019">
      <w:start w:val="1"/>
      <w:numFmt w:val="lowerLetter"/>
      <w:lvlText w:val="%8."/>
      <w:lvlJc w:val="left"/>
      <w:pPr>
        <w:ind w:left="6108" w:hanging="360"/>
      </w:pPr>
    </w:lvl>
    <w:lvl w:ilvl="8" w:tplc="040C001B">
      <w:start w:val="1"/>
      <w:numFmt w:val="lowerRoman"/>
      <w:lvlText w:val="%9."/>
      <w:lvlJc w:val="right"/>
      <w:pPr>
        <w:ind w:left="6828" w:hanging="180"/>
      </w:pPr>
    </w:lvl>
  </w:abstractNum>
  <w:abstractNum w:abstractNumId="10">
    <w:nsid w:val="22F53D82"/>
    <w:multiLevelType w:val="multilevel"/>
    <w:tmpl w:val="201E787C"/>
    <w:lvl w:ilvl="0">
      <w:start w:val="1"/>
      <w:numFmt w:val="decimal"/>
      <w:lvlText w:val="%1."/>
      <w:lvlJc w:val="left"/>
      <w:pPr>
        <w:ind w:left="720" w:hanging="360"/>
      </w:pPr>
      <w:rPr>
        <w:rFonts w:hint="default"/>
      </w:rPr>
    </w:lvl>
    <w:lvl w:ilvl="1">
      <w:start w:val="1"/>
      <w:numFmt w:val="decimal"/>
      <w:isLgl/>
      <w:lvlText w:val="%1.%2"/>
      <w:lvlJc w:val="left"/>
      <w:pPr>
        <w:ind w:left="102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11">
    <w:nsid w:val="24673CED"/>
    <w:multiLevelType w:val="hybridMultilevel"/>
    <w:tmpl w:val="DD7C9D0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47F436C"/>
    <w:multiLevelType w:val="hybridMultilevel"/>
    <w:tmpl w:val="C6BCB740"/>
    <w:lvl w:ilvl="0" w:tplc="802CAE44">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7D6073A"/>
    <w:multiLevelType w:val="multilevel"/>
    <w:tmpl w:val="B9629586"/>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7D728CC"/>
    <w:multiLevelType w:val="multilevel"/>
    <w:tmpl w:val="B860E55A"/>
    <w:lvl w:ilvl="0">
      <w:start w:val="3"/>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5">
    <w:nsid w:val="2D391E46"/>
    <w:multiLevelType w:val="multilevel"/>
    <w:tmpl w:val="1F3A5B06"/>
    <w:lvl w:ilvl="0">
      <w:start w:val="1"/>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31413B8E"/>
    <w:multiLevelType w:val="multilevel"/>
    <w:tmpl w:val="DE22426A"/>
    <w:lvl w:ilvl="0">
      <w:start w:val="1"/>
      <w:numFmt w:val="decimal"/>
      <w:lvlText w:val="%1."/>
      <w:lvlJc w:val="left"/>
      <w:pPr>
        <w:ind w:left="644" w:hanging="360"/>
      </w:pPr>
      <w:rPr>
        <w:rFonts w:hint="default"/>
      </w:rPr>
    </w:lvl>
    <w:lvl w:ilvl="1">
      <w:start w:val="2"/>
      <w:numFmt w:val="decimal"/>
      <w:isLgl/>
      <w:lvlText w:val="%1.%2"/>
      <w:lvlJc w:val="left"/>
      <w:pPr>
        <w:ind w:left="764" w:hanging="480"/>
      </w:pPr>
      <w:rPr>
        <w:rFonts w:hint="default"/>
      </w:rPr>
    </w:lvl>
    <w:lvl w:ilvl="2">
      <w:start w:val="2"/>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17">
    <w:nsid w:val="31AE1750"/>
    <w:multiLevelType w:val="hybridMultilevel"/>
    <w:tmpl w:val="C9D0AE52"/>
    <w:lvl w:ilvl="0" w:tplc="A6EC32B4">
      <w:start w:val="1"/>
      <w:numFmt w:val="decimal"/>
      <w:lvlText w:val="%1-"/>
      <w:lvlJc w:val="left"/>
      <w:pPr>
        <w:ind w:left="1068" w:hanging="360"/>
      </w:pPr>
      <w:rPr>
        <w:rFonts w:hint="default"/>
        <w:sz w:val="28"/>
        <w:szCs w:val="28"/>
      </w:rPr>
    </w:lvl>
    <w:lvl w:ilvl="1" w:tplc="040C0019">
      <w:start w:val="1"/>
      <w:numFmt w:val="lowerLetter"/>
      <w:lvlText w:val="%2."/>
      <w:lvlJc w:val="left"/>
      <w:pPr>
        <w:ind w:left="1788" w:hanging="360"/>
      </w:pPr>
    </w:lvl>
    <w:lvl w:ilvl="2" w:tplc="040C001B">
      <w:start w:val="1"/>
      <w:numFmt w:val="lowerRoman"/>
      <w:lvlText w:val="%3."/>
      <w:lvlJc w:val="right"/>
      <w:pPr>
        <w:ind w:left="2508" w:hanging="180"/>
      </w:pPr>
    </w:lvl>
    <w:lvl w:ilvl="3" w:tplc="040C000F">
      <w:start w:val="1"/>
      <w:numFmt w:val="decimal"/>
      <w:lvlText w:val="%4."/>
      <w:lvlJc w:val="left"/>
      <w:pPr>
        <w:ind w:left="3228" w:hanging="360"/>
      </w:pPr>
    </w:lvl>
    <w:lvl w:ilvl="4" w:tplc="040C0019">
      <w:start w:val="1"/>
      <w:numFmt w:val="lowerLetter"/>
      <w:lvlText w:val="%5."/>
      <w:lvlJc w:val="left"/>
      <w:pPr>
        <w:ind w:left="3948" w:hanging="360"/>
      </w:pPr>
    </w:lvl>
    <w:lvl w:ilvl="5" w:tplc="040C001B">
      <w:start w:val="1"/>
      <w:numFmt w:val="lowerRoman"/>
      <w:lvlText w:val="%6."/>
      <w:lvlJc w:val="right"/>
      <w:pPr>
        <w:ind w:left="4668" w:hanging="180"/>
      </w:pPr>
    </w:lvl>
    <w:lvl w:ilvl="6" w:tplc="040C000F">
      <w:start w:val="1"/>
      <w:numFmt w:val="decimal"/>
      <w:lvlText w:val="%7."/>
      <w:lvlJc w:val="left"/>
      <w:pPr>
        <w:ind w:left="5388" w:hanging="360"/>
      </w:pPr>
    </w:lvl>
    <w:lvl w:ilvl="7" w:tplc="040C0019">
      <w:start w:val="1"/>
      <w:numFmt w:val="lowerLetter"/>
      <w:lvlText w:val="%8."/>
      <w:lvlJc w:val="left"/>
      <w:pPr>
        <w:ind w:left="6108" w:hanging="360"/>
      </w:pPr>
    </w:lvl>
    <w:lvl w:ilvl="8" w:tplc="040C001B">
      <w:start w:val="1"/>
      <w:numFmt w:val="lowerRoman"/>
      <w:lvlText w:val="%9."/>
      <w:lvlJc w:val="right"/>
      <w:pPr>
        <w:ind w:left="6828" w:hanging="180"/>
      </w:pPr>
    </w:lvl>
  </w:abstractNum>
  <w:abstractNum w:abstractNumId="18">
    <w:nsid w:val="32191850"/>
    <w:multiLevelType w:val="hybridMultilevel"/>
    <w:tmpl w:val="C23E75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3F451AA"/>
    <w:multiLevelType w:val="hybridMultilevel"/>
    <w:tmpl w:val="5EB26592"/>
    <w:lvl w:ilvl="0" w:tplc="2F040920">
      <w:start w:val="1"/>
      <w:numFmt w:val="upperRoman"/>
      <w:lvlText w:val="%1."/>
      <w:lvlJc w:val="left"/>
      <w:pPr>
        <w:ind w:left="1425" w:hanging="72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20">
    <w:nsid w:val="3B7A094B"/>
    <w:multiLevelType w:val="multilevel"/>
    <w:tmpl w:val="5C78E8FE"/>
    <w:lvl w:ilvl="0">
      <w:start w:val="2"/>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nsid w:val="3C8863B0"/>
    <w:multiLevelType w:val="hybridMultilevel"/>
    <w:tmpl w:val="69D45E84"/>
    <w:lvl w:ilvl="0" w:tplc="040C0001">
      <w:start w:val="1"/>
      <w:numFmt w:val="bullet"/>
      <w:lvlText w:val=""/>
      <w:lvlJc w:val="left"/>
      <w:pPr>
        <w:ind w:left="720" w:hanging="360"/>
      </w:pPr>
      <w:rPr>
        <w:rFonts w:ascii="Symbol" w:hAnsi="Symbol" w:cs="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22">
    <w:nsid w:val="3C985B5D"/>
    <w:multiLevelType w:val="hybridMultilevel"/>
    <w:tmpl w:val="4F5CD33A"/>
    <w:lvl w:ilvl="0" w:tplc="040C0001">
      <w:start w:val="1"/>
      <w:numFmt w:val="bullet"/>
      <w:lvlText w:val=""/>
      <w:lvlJc w:val="left"/>
      <w:pPr>
        <w:tabs>
          <w:tab w:val="num" w:pos="720"/>
        </w:tabs>
        <w:ind w:left="720" w:hanging="360"/>
      </w:pPr>
      <w:rPr>
        <w:rFonts w:ascii="Symbol" w:hAnsi="Symbo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23">
    <w:nsid w:val="3D1F7C4C"/>
    <w:multiLevelType w:val="hybridMultilevel"/>
    <w:tmpl w:val="0EF63232"/>
    <w:lvl w:ilvl="0" w:tplc="C6EA863C">
      <w:numFmt w:val="bullet"/>
      <w:lvlText w:val="-"/>
      <w:lvlJc w:val="left"/>
      <w:pPr>
        <w:ind w:left="720" w:hanging="360"/>
      </w:pPr>
      <w:rPr>
        <w:rFonts w:ascii="Times New Roman" w:eastAsia="Times New Roman" w:hAnsi="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24">
    <w:nsid w:val="3EEB015C"/>
    <w:multiLevelType w:val="hybridMultilevel"/>
    <w:tmpl w:val="5E623DA6"/>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5">
    <w:nsid w:val="3F7F2A87"/>
    <w:multiLevelType w:val="hybridMultilevel"/>
    <w:tmpl w:val="04C2DEE2"/>
    <w:lvl w:ilvl="0" w:tplc="663209D8">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6">
    <w:nsid w:val="42934954"/>
    <w:multiLevelType w:val="hybridMultilevel"/>
    <w:tmpl w:val="9CC6F248"/>
    <w:lvl w:ilvl="0" w:tplc="DB2A567A">
      <w:start w:val="1"/>
      <w:numFmt w:val="bullet"/>
      <w:pStyle w:val="Titre4"/>
      <w:lvlText w:val=""/>
      <w:lvlJc w:val="left"/>
      <w:pPr>
        <w:tabs>
          <w:tab w:val="num" w:pos="720"/>
        </w:tabs>
        <w:ind w:left="720" w:hanging="360"/>
      </w:pPr>
      <w:rPr>
        <w:rFonts w:ascii="Wingdings" w:hAnsi="Wingdings" w:cs="Wingdings"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27">
    <w:nsid w:val="44540F92"/>
    <w:multiLevelType w:val="multilevel"/>
    <w:tmpl w:val="F028F1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BBF3109"/>
    <w:multiLevelType w:val="hybridMultilevel"/>
    <w:tmpl w:val="ECAC0FC2"/>
    <w:lvl w:ilvl="0" w:tplc="040C000B">
      <w:start w:val="1"/>
      <w:numFmt w:val="bullet"/>
      <w:lvlText w:val=""/>
      <w:lvlJc w:val="left"/>
      <w:pPr>
        <w:ind w:left="766" w:hanging="360"/>
      </w:pPr>
      <w:rPr>
        <w:rFonts w:ascii="Wingdings" w:hAnsi="Wingdings" w:cs="Wingdings" w:hint="default"/>
      </w:rPr>
    </w:lvl>
    <w:lvl w:ilvl="1" w:tplc="040C0003">
      <w:start w:val="1"/>
      <w:numFmt w:val="bullet"/>
      <w:lvlText w:val="o"/>
      <w:lvlJc w:val="left"/>
      <w:pPr>
        <w:ind w:left="1486" w:hanging="360"/>
      </w:pPr>
      <w:rPr>
        <w:rFonts w:ascii="Courier New" w:hAnsi="Courier New" w:cs="Courier New" w:hint="default"/>
      </w:rPr>
    </w:lvl>
    <w:lvl w:ilvl="2" w:tplc="040C0005">
      <w:start w:val="1"/>
      <w:numFmt w:val="bullet"/>
      <w:lvlText w:val=""/>
      <w:lvlJc w:val="left"/>
      <w:pPr>
        <w:ind w:left="2206" w:hanging="360"/>
      </w:pPr>
      <w:rPr>
        <w:rFonts w:ascii="Wingdings" w:hAnsi="Wingdings" w:cs="Wingdings" w:hint="default"/>
      </w:rPr>
    </w:lvl>
    <w:lvl w:ilvl="3" w:tplc="040C0001">
      <w:start w:val="1"/>
      <w:numFmt w:val="bullet"/>
      <w:lvlText w:val=""/>
      <w:lvlJc w:val="left"/>
      <w:pPr>
        <w:ind w:left="2926" w:hanging="360"/>
      </w:pPr>
      <w:rPr>
        <w:rFonts w:ascii="Symbol" w:hAnsi="Symbol" w:cs="Symbol" w:hint="default"/>
      </w:rPr>
    </w:lvl>
    <w:lvl w:ilvl="4" w:tplc="040C0003">
      <w:start w:val="1"/>
      <w:numFmt w:val="bullet"/>
      <w:lvlText w:val="o"/>
      <w:lvlJc w:val="left"/>
      <w:pPr>
        <w:ind w:left="3646" w:hanging="360"/>
      </w:pPr>
      <w:rPr>
        <w:rFonts w:ascii="Courier New" w:hAnsi="Courier New" w:cs="Courier New" w:hint="default"/>
      </w:rPr>
    </w:lvl>
    <w:lvl w:ilvl="5" w:tplc="040C0005">
      <w:start w:val="1"/>
      <w:numFmt w:val="bullet"/>
      <w:lvlText w:val=""/>
      <w:lvlJc w:val="left"/>
      <w:pPr>
        <w:ind w:left="4366" w:hanging="360"/>
      </w:pPr>
      <w:rPr>
        <w:rFonts w:ascii="Wingdings" w:hAnsi="Wingdings" w:cs="Wingdings" w:hint="default"/>
      </w:rPr>
    </w:lvl>
    <w:lvl w:ilvl="6" w:tplc="040C0001">
      <w:start w:val="1"/>
      <w:numFmt w:val="bullet"/>
      <w:lvlText w:val=""/>
      <w:lvlJc w:val="left"/>
      <w:pPr>
        <w:ind w:left="5086" w:hanging="360"/>
      </w:pPr>
      <w:rPr>
        <w:rFonts w:ascii="Symbol" w:hAnsi="Symbol" w:cs="Symbol" w:hint="default"/>
      </w:rPr>
    </w:lvl>
    <w:lvl w:ilvl="7" w:tplc="040C0003">
      <w:start w:val="1"/>
      <w:numFmt w:val="bullet"/>
      <w:lvlText w:val="o"/>
      <w:lvlJc w:val="left"/>
      <w:pPr>
        <w:ind w:left="5806" w:hanging="360"/>
      </w:pPr>
      <w:rPr>
        <w:rFonts w:ascii="Courier New" w:hAnsi="Courier New" w:cs="Courier New" w:hint="default"/>
      </w:rPr>
    </w:lvl>
    <w:lvl w:ilvl="8" w:tplc="040C0005">
      <w:start w:val="1"/>
      <w:numFmt w:val="bullet"/>
      <w:lvlText w:val=""/>
      <w:lvlJc w:val="left"/>
      <w:pPr>
        <w:ind w:left="6526" w:hanging="360"/>
      </w:pPr>
      <w:rPr>
        <w:rFonts w:ascii="Wingdings" w:hAnsi="Wingdings" w:cs="Wingdings" w:hint="default"/>
      </w:rPr>
    </w:lvl>
  </w:abstractNum>
  <w:abstractNum w:abstractNumId="29">
    <w:nsid w:val="500A6875"/>
    <w:multiLevelType w:val="hybridMultilevel"/>
    <w:tmpl w:val="225A199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00E6B65"/>
    <w:multiLevelType w:val="hybridMultilevel"/>
    <w:tmpl w:val="C0BA5A16"/>
    <w:lvl w:ilvl="0" w:tplc="3E4C7374">
      <w:start w:val="2"/>
      <w:numFmt w:val="bullet"/>
      <w:lvlText w:val="-"/>
      <w:lvlJc w:val="left"/>
      <w:pPr>
        <w:ind w:left="927" w:hanging="360"/>
      </w:pPr>
      <w:rPr>
        <w:rFonts w:ascii="Times New Roman" w:eastAsia="Times New Roman" w:hAnsi="Times New Roman" w:cs="Times New Roman" w:hint="default"/>
        <w:b/>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1">
    <w:nsid w:val="50894D34"/>
    <w:multiLevelType w:val="multilevel"/>
    <w:tmpl w:val="340CFFF2"/>
    <w:lvl w:ilvl="0">
      <w:start w:val="4"/>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nsid w:val="51C8262A"/>
    <w:multiLevelType w:val="hybridMultilevel"/>
    <w:tmpl w:val="4162B022"/>
    <w:lvl w:ilvl="0" w:tplc="8BCEC0D0">
      <w:start w:val="1"/>
      <w:numFmt w:val="bullet"/>
      <w:lvlText w:val=""/>
      <w:lvlJc w:val="left"/>
      <w:pPr>
        <w:ind w:left="502"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2641A15"/>
    <w:multiLevelType w:val="hybridMultilevel"/>
    <w:tmpl w:val="C9D0AE52"/>
    <w:lvl w:ilvl="0" w:tplc="A6EC32B4">
      <w:start w:val="1"/>
      <w:numFmt w:val="decimal"/>
      <w:lvlText w:val="%1-"/>
      <w:lvlJc w:val="left"/>
      <w:pPr>
        <w:ind w:left="1068" w:hanging="360"/>
      </w:pPr>
      <w:rPr>
        <w:rFonts w:hint="default"/>
        <w:sz w:val="28"/>
        <w:szCs w:val="28"/>
      </w:rPr>
    </w:lvl>
    <w:lvl w:ilvl="1" w:tplc="040C0019">
      <w:start w:val="1"/>
      <w:numFmt w:val="lowerLetter"/>
      <w:lvlText w:val="%2."/>
      <w:lvlJc w:val="left"/>
      <w:pPr>
        <w:ind w:left="1788" w:hanging="360"/>
      </w:pPr>
    </w:lvl>
    <w:lvl w:ilvl="2" w:tplc="040C001B">
      <w:start w:val="1"/>
      <w:numFmt w:val="lowerRoman"/>
      <w:lvlText w:val="%3."/>
      <w:lvlJc w:val="right"/>
      <w:pPr>
        <w:ind w:left="2508" w:hanging="180"/>
      </w:pPr>
    </w:lvl>
    <w:lvl w:ilvl="3" w:tplc="040C000F">
      <w:start w:val="1"/>
      <w:numFmt w:val="decimal"/>
      <w:lvlText w:val="%4."/>
      <w:lvlJc w:val="left"/>
      <w:pPr>
        <w:ind w:left="3228" w:hanging="360"/>
      </w:pPr>
    </w:lvl>
    <w:lvl w:ilvl="4" w:tplc="040C0019">
      <w:start w:val="1"/>
      <w:numFmt w:val="lowerLetter"/>
      <w:lvlText w:val="%5."/>
      <w:lvlJc w:val="left"/>
      <w:pPr>
        <w:ind w:left="3948" w:hanging="360"/>
      </w:pPr>
    </w:lvl>
    <w:lvl w:ilvl="5" w:tplc="040C001B">
      <w:start w:val="1"/>
      <w:numFmt w:val="lowerRoman"/>
      <w:lvlText w:val="%6."/>
      <w:lvlJc w:val="right"/>
      <w:pPr>
        <w:ind w:left="4668" w:hanging="180"/>
      </w:pPr>
    </w:lvl>
    <w:lvl w:ilvl="6" w:tplc="040C000F">
      <w:start w:val="1"/>
      <w:numFmt w:val="decimal"/>
      <w:lvlText w:val="%7."/>
      <w:lvlJc w:val="left"/>
      <w:pPr>
        <w:ind w:left="5388" w:hanging="360"/>
      </w:pPr>
    </w:lvl>
    <w:lvl w:ilvl="7" w:tplc="040C0019">
      <w:start w:val="1"/>
      <w:numFmt w:val="lowerLetter"/>
      <w:lvlText w:val="%8."/>
      <w:lvlJc w:val="left"/>
      <w:pPr>
        <w:ind w:left="6108" w:hanging="360"/>
      </w:pPr>
    </w:lvl>
    <w:lvl w:ilvl="8" w:tplc="040C001B">
      <w:start w:val="1"/>
      <w:numFmt w:val="lowerRoman"/>
      <w:lvlText w:val="%9."/>
      <w:lvlJc w:val="right"/>
      <w:pPr>
        <w:ind w:left="6828" w:hanging="180"/>
      </w:pPr>
    </w:lvl>
  </w:abstractNum>
  <w:abstractNum w:abstractNumId="34">
    <w:nsid w:val="54CB44E5"/>
    <w:multiLevelType w:val="multilevel"/>
    <w:tmpl w:val="A702808A"/>
    <w:lvl w:ilvl="0">
      <w:start w:val="1"/>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nsid w:val="54F21732"/>
    <w:multiLevelType w:val="hybridMultilevel"/>
    <w:tmpl w:val="C9D0AE52"/>
    <w:lvl w:ilvl="0" w:tplc="A6EC32B4">
      <w:start w:val="1"/>
      <w:numFmt w:val="decimal"/>
      <w:lvlText w:val="%1-"/>
      <w:lvlJc w:val="left"/>
      <w:pPr>
        <w:ind w:left="1068" w:hanging="360"/>
      </w:pPr>
      <w:rPr>
        <w:rFonts w:hint="default"/>
        <w:sz w:val="28"/>
        <w:szCs w:val="28"/>
      </w:rPr>
    </w:lvl>
    <w:lvl w:ilvl="1" w:tplc="040C0019">
      <w:start w:val="1"/>
      <w:numFmt w:val="lowerLetter"/>
      <w:lvlText w:val="%2."/>
      <w:lvlJc w:val="left"/>
      <w:pPr>
        <w:ind w:left="1788" w:hanging="360"/>
      </w:pPr>
    </w:lvl>
    <w:lvl w:ilvl="2" w:tplc="040C001B">
      <w:start w:val="1"/>
      <w:numFmt w:val="lowerRoman"/>
      <w:lvlText w:val="%3."/>
      <w:lvlJc w:val="right"/>
      <w:pPr>
        <w:ind w:left="2508" w:hanging="180"/>
      </w:pPr>
    </w:lvl>
    <w:lvl w:ilvl="3" w:tplc="040C000F">
      <w:start w:val="1"/>
      <w:numFmt w:val="decimal"/>
      <w:lvlText w:val="%4."/>
      <w:lvlJc w:val="left"/>
      <w:pPr>
        <w:ind w:left="3228" w:hanging="360"/>
      </w:pPr>
    </w:lvl>
    <w:lvl w:ilvl="4" w:tplc="040C0019">
      <w:start w:val="1"/>
      <w:numFmt w:val="lowerLetter"/>
      <w:lvlText w:val="%5."/>
      <w:lvlJc w:val="left"/>
      <w:pPr>
        <w:ind w:left="3948" w:hanging="360"/>
      </w:pPr>
    </w:lvl>
    <w:lvl w:ilvl="5" w:tplc="040C001B">
      <w:start w:val="1"/>
      <w:numFmt w:val="lowerRoman"/>
      <w:lvlText w:val="%6."/>
      <w:lvlJc w:val="right"/>
      <w:pPr>
        <w:ind w:left="4668" w:hanging="180"/>
      </w:pPr>
    </w:lvl>
    <w:lvl w:ilvl="6" w:tplc="040C000F">
      <w:start w:val="1"/>
      <w:numFmt w:val="decimal"/>
      <w:lvlText w:val="%7."/>
      <w:lvlJc w:val="left"/>
      <w:pPr>
        <w:ind w:left="5388" w:hanging="360"/>
      </w:pPr>
    </w:lvl>
    <w:lvl w:ilvl="7" w:tplc="040C0019">
      <w:start w:val="1"/>
      <w:numFmt w:val="lowerLetter"/>
      <w:lvlText w:val="%8."/>
      <w:lvlJc w:val="left"/>
      <w:pPr>
        <w:ind w:left="6108" w:hanging="360"/>
      </w:pPr>
    </w:lvl>
    <w:lvl w:ilvl="8" w:tplc="040C001B">
      <w:start w:val="1"/>
      <w:numFmt w:val="lowerRoman"/>
      <w:lvlText w:val="%9."/>
      <w:lvlJc w:val="right"/>
      <w:pPr>
        <w:ind w:left="6828" w:hanging="180"/>
      </w:pPr>
    </w:lvl>
  </w:abstractNum>
  <w:abstractNum w:abstractNumId="36">
    <w:nsid w:val="57CB57B6"/>
    <w:multiLevelType w:val="hybridMultilevel"/>
    <w:tmpl w:val="489CDB20"/>
    <w:lvl w:ilvl="0" w:tplc="040C000B">
      <w:start w:val="1"/>
      <w:numFmt w:val="bullet"/>
      <w:lvlText w:val=""/>
      <w:lvlJc w:val="left"/>
      <w:pPr>
        <w:ind w:left="766" w:hanging="360"/>
      </w:pPr>
      <w:rPr>
        <w:rFonts w:ascii="Wingdings" w:hAnsi="Wingdings" w:cs="Wingdings" w:hint="default"/>
      </w:rPr>
    </w:lvl>
    <w:lvl w:ilvl="1" w:tplc="040C0003">
      <w:start w:val="1"/>
      <w:numFmt w:val="bullet"/>
      <w:lvlText w:val="o"/>
      <w:lvlJc w:val="left"/>
      <w:pPr>
        <w:ind w:left="1486" w:hanging="360"/>
      </w:pPr>
      <w:rPr>
        <w:rFonts w:ascii="Courier New" w:hAnsi="Courier New" w:cs="Courier New" w:hint="default"/>
      </w:rPr>
    </w:lvl>
    <w:lvl w:ilvl="2" w:tplc="040C0005">
      <w:start w:val="1"/>
      <w:numFmt w:val="bullet"/>
      <w:lvlText w:val=""/>
      <w:lvlJc w:val="left"/>
      <w:pPr>
        <w:ind w:left="2206" w:hanging="360"/>
      </w:pPr>
      <w:rPr>
        <w:rFonts w:ascii="Wingdings" w:hAnsi="Wingdings" w:cs="Wingdings" w:hint="default"/>
      </w:rPr>
    </w:lvl>
    <w:lvl w:ilvl="3" w:tplc="040C0001">
      <w:start w:val="1"/>
      <w:numFmt w:val="bullet"/>
      <w:lvlText w:val=""/>
      <w:lvlJc w:val="left"/>
      <w:pPr>
        <w:ind w:left="2926" w:hanging="360"/>
      </w:pPr>
      <w:rPr>
        <w:rFonts w:ascii="Symbol" w:hAnsi="Symbol" w:cs="Symbol" w:hint="default"/>
      </w:rPr>
    </w:lvl>
    <w:lvl w:ilvl="4" w:tplc="040C0003">
      <w:start w:val="1"/>
      <w:numFmt w:val="bullet"/>
      <w:lvlText w:val="o"/>
      <w:lvlJc w:val="left"/>
      <w:pPr>
        <w:ind w:left="3646" w:hanging="360"/>
      </w:pPr>
      <w:rPr>
        <w:rFonts w:ascii="Courier New" w:hAnsi="Courier New" w:cs="Courier New" w:hint="default"/>
      </w:rPr>
    </w:lvl>
    <w:lvl w:ilvl="5" w:tplc="040C0005">
      <w:start w:val="1"/>
      <w:numFmt w:val="bullet"/>
      <w:lvlText w:val=""/>
      <w:lvlJc w:val="left"/>
      <w:pPr>
        <w:ind w:left="4366" w:hanging="360"/>
      </w:pPr>
      <w:rPr>
        <w:rFonts w:ascii="Wingdings" w:hAnsi="Wingdings" w:cs="Wingdings" w:hint="default"/>
      </w:rPr>
    </w:lvl>
    <w:lvl w:ilvl="6" w:tplc="040C0001">
      <w:start w:val="1"/>
      <w:numFmt w:val="bullet"/>
      <w:lvlText w:val=""/>
      <w:lvlJc w:val="left"/>
      <w:pPr>
        <w:ind w:left="5086" w:hanging="360"/>
      </w:pPr>
      <w:rPr>
        <w:rFonts w:ascii="Symbol" w:hAnsi="Symbol" w:cs="Symbol" w:hint="default"/>
      </w:rPr>
    </w:lvl>
    <w:lvl w:ilvl="7" w:tplc="040C0003">
      <w:start w:val="1"/>
      <w:numFmt w:val="bullet"/>
      <w:lvlText w:val="o"/>
      <w:lvlJc w:val="left"/>
      <w:pPr>
        <w:ind w:left="5806" w:hanging="360"/>
      </w:pPr>
      <w:rPr>
        <w:rFonts w:ascii="Courier New" w:hAnsi="Courier New" w:cs="Courier New" w:hint="default"/>
      </w:rPr>
    </w:lvl>
    <w:lvl w:ilvl="8" w:tplc="040C0005">
      <w:start w:val="1"/>
      <w:numFmt w:val="bullet"/>
      <w:lvlText w:val=""/>
      <w:lvlJc w:val="left"/>
      <w:pPr>
        <w:ind w:left="6526" w:hanging="360"/>
      </w:pPr>
      <w:rPr>
        <w:rFonts w:ascii="Wingdings" w:hAnsi="Wingdings" w:cs="Wingdings" w:hint="default"/>
      </w:rPr>
    </w:lvl>
  </w:abstractNum>
  <w:abstractNum w:abstractNumId="37">
    <w:nsid w:val="5A3A27B4"/>
    <w:multiLevelType w:val="multilevel"/>
    <w:tmpl w:val="A9967046"/>
    <w:lvl w:ilvl="0">
      <w:start w:val="2"/>
      <w:numFmt w:val="decimal"/>
      <w:lvlText w:val="%1"/>
      <w:lvlJc w:val="left"/>
      <w:pPr>
        <w:ind w:left="660" w:hanging="660"/>
      </w:pPr>
      <w:rPr>
        <w:rFonts w:hint="default"/>
      </w:rPr>
    </w:lvl>
    <w:lvl w:ilvl="1">
      <w:start w:val="1"/>
      <w:numFmt w:val="decimal"/>
      <w:lvlText w:val="%1.%2"/>
      <w:lvlJc w:val="left"/>
      <w:pPr>
        <w:ind w:left="802" w:hanging="660"/>
      </w:pPr>
      <w:rPr>
        <w:rFonts w:hint="default"/>
      </w:rPr>
    </w:lvl>
    <w:lvl w:ilvl="2">
      <w:start w:val="1"/>
      <w:numFmt w:val="decimal"/>
      <w:lvlText w:val="%1.%2.%3"/>
      <w:lvlJc w:val="left"/>
      <w:pPr>
        <w:ind w:left="1004" w:hanging="720"/>
      </w:pPr>
      <w:rPr>
        <w:rFonts w:hint="default"/>
      </w:rPr>
    </w:lvl>
    <w:lvl w:ilvl="3">
      <w:start w:val="2"/>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8">
    <w:nsid w:val="63243AEB"/>
    <w:multiLevelType w:val="hybridMultilevel"/>
    <w:tmpl w:val="322AFD82"/>
    <w:lvl w:ilvl="0" w:tplc="040C000B">
      <w:start w:val="1"/>
      <w:numFmt w:val="bullet"/>
      <w:lvlText w:val=""/>
      <w:lvlJc w:val="left"/>
      <w:pPr>
        <w:ind w:left="720" w:hanging="360"/>
      </w:pPr>
      <w:rPr>
        <w:rFonts w:ascii="Wingdings" w:hAnsi="Wingdings" w:cs="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39">
    <w:nsid w:val="65D01654"/>
    <w:multiLevelType w:val="hybridMultilevel"/>
    <w:tmpl w:val="EE2C920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40">
    <w:nsid w:val="6BBA09F7"/>
    <w:multiLevelType w:val="hybridMultilevel"/>
    <w:tmpl w:val="2B560AFA"/>
    <w:lvl w:ilvl="0" w:tplc="00DEB076">
      <w:start w:val="13"/>
      <w:numFmt w:val="bullet"/>
      <w:lvlText w:val="-"/>
      <w:lvlJc w:val="left"/>
      <w:pPr>
        <w:ind w:left="1240" w:hanging="360"/>
      </w:pPr>
      <w:rPr>
        <w:rFonts w:ascii="Times New Roman" w:eastAsia="Times New Roman" w:hAnsi="Times New Roman" w:hint="default"/>
      </w:rPr>
    </w:lvl>
    <w:lvl w:ilvl="1" w:tplc="040C0003">
      <w:start w:val="1"/>
      <w:numFmt w:val="bullet"/>
      <w:lvlText w:val="o"/>
      <w:lvlJc w:val="left"/>
      <w:pPr>
        <w:ind w:left="1960" w:hanging="360"/>
      </w:pPr>
      <w:rPr>
        <w:rFonts w:ascii="Courier New" w:hAnsi="Courier New" w:cs="Courier New" w:hint="default"/>
      </w:rPr>
    </w:lvl>
    <w:lvl w:ilvl="2" w:tplc="040C0005">
      <w:start w:val="1"/>
      <w:numFmt w:val="bullet"/>
      <w:lvlText w:val=""/>
      <w:lvlJc w:val="left"/>
      <w:pPr>
        <w:ind w:left="2680" w:hanging="360"/>
      </w:pPr>
      <w:rPr>
        <w:rFonts w:ascii="Wingdings" w:hAnsi="Wingdings" w:cs="Wingdings" w:hint="default"/>
      </w:rPr>
    </w:lvl>
    <w:lvl w:ilvl="3" w:tplc="040C0001">
      <w:start w:val="1"/>
      <w:numFmt w:val="bullet"/>
      <w:lvlText w:val=""/>
      <w:lvlJc w:val="left"/>
      <w:pPr>
        <w:ind w:left="3400" w:hanging="360"/>
      </w:pPr>
      <w:rPr>
        <w:rFonts w:ascii="Symbol" w:hAnsi="Symbol" w:cs="Symbol" w:hint="default"/>
      </w:rPr>
    </w:lvl>
    <w:lvl w:ilvl="4" w:tplc="040C0003">
      <w:start w:val="1"/>
      <w:numFmt w:val="bullet"/>
      <w:lvlText w:val="o"/>
      <w:lvlJc w:val="left"/>
      <w:pPr>
        <w:ind w:left="4120" w:hanging="360"/>
      </w:pPr>
      <w:rPr>
        <w:rFonts w:ascii="Courier New" w:hAnsi="Courier New" w:cs="Courier New" w:hint="default"/>
      </w:rPr>
    </w:lvl>
    <w:lvl w:ilvl="5" w:tplc="040C0005">
      <w:start w:val="1"/>
      <w:numFmt w:val="bullet"/>
      <w:lvlText w:val=""/>
      <w:lvlJc w:val="left"/>
      <w:pPr>
        <w:ind w:left="4840" w:hanging="360"/>
      </w:pPr>
      <w:rPr>
        <w:rFonts w:ascii="Wingdings" w:hAnsi="Wingdings" w:cs="Wingdings" w:hint="default"/>
      </w:rPr>
    </w:lvl>
    <w:lvl w:ilvl="6" w:tplc="040C0001">
      <w:start w:val="1"/>
      <w:numFmt w:val="bullet"/>
      <w:lvlText w:val=""/>
      <w:lvlJc w:val="left"/>
      <w:pPr>
        <w:ind w:left="5560" w:hanging="360"/>
      </w:pPr>
      <w:rPr>
        <w:rFonts w:ascii="Symbol" w:hAnsi="Symbol" w:cs="Symbol" w:hint="default"/>
      </w:rPr>
    </w:lvl>
    <w:lvl w:ilvl="7" w:tplc="040C0003">
      <w:start w:val="1"/>
      <w:numFmt w:val="bullet"/>
      <w:lvlText w:val="o"/>
      <w:lvlJc w:val="left"/>
      <w:pPr>
        <w:ind w:left="6280" w:hanging="360"/>
      </w:pPr>
      <w:rPr>
        <w:rFonts w:ascii="Courier New" w:hAnsi="Courier New" w:cs="Courier New" w:hint="default"/>
      </w:rPr>
    </w:lvl>
    <w:lvl w:ilvl="8" w:tplc="040C0005">
      <w:start w:val="1"/>
      <w:numFmt w:val="bullet"/>
      <w:lvlText w:val=""/>
      <w:lvlJc w:val="left"/>
      <w:pPr>
        <w:ind w:left="7000" w:hanging="360"/>
      </w:pPr>
      <w:rPr>
        <w:rFonts w:ascii="Wingdings" w:hAnsi="Wingdings" w:cs="Wingdings" w:hint="default"/>
      </w:rPr>
    </w:lvl>
  </w:abstractNum>
  <w:abstractNum w:abstractNumId="41">
    <w:nsid w:val="6C22292E"/>
    <w:multiLevelType w:val="hybridMultilevel"/>
    <w:tmpl w:val="31482280"/>
    <w:lvl w:ilvl="0" w:tplc="040C000F">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6D674E11"/>
    <w:multiLevelType w:val="multilevel"/>
    <w:tmpl w:val="322E9B8A"/>
    <w:lvl w:ilvl="0">
      <w:start w:val="2"/>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3">
    <w:nsid w:val="6E307A6D"/>
    <w:multiLevelType w:val="hybridMultilevel"/>
    <w:tmpl w:val="94782DB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44">
    <w:nsid w:val="6E4063BF"/>
    <w:multiLevelType w:val="hybridMultilevel"/>
    <w:tmpl w:val="034CD524"/>
    <w:lvl w:ilvl="0" w:tplc="831406D4">
      <w:start w:val="1"/>
      <w:numFmt w:val="bullet"/>
      <w:pStyle w:val="Titre3"/>
      <w:lvlText w:val=""/>
      <w:lvlJc w:val="left"/>
      <w:pPr>
        <w:ind w:left="786"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45">
    <w:nsid w:val="6EB615C8"/>
    <w:multiLevelType w:val="hybridMultilevel"/>
    <w:tmpl w:val="B1882A62"/>
    <w:lvl w:ilvl="0" w:tplc="4FF00172">
      <w:start w:val="1"/>
      <w:numFmt w:val="upperRoman"/>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6">
    <w:nsid w:val="744C5A42"/>
    <w:multiLevelType w:val="hybridMultilevel"/>
    <w:tmpl w:val="C9D0AE52"/>
    <w:lvl w:ilvl="0" w:tplc="A6EC32B4">
      <w:start w:val="1"/>
      <w:numFmt w:val="decimal"/>
      <w:lvlText w:val="%1-"/>
      <w:lvlJc w:val="left"/>
      <w:pPr>
        <w:ind w:left="1068" w:hanging="360"/>
      </w:pPr>
      <w:rPr>
        <w:rFonts w:hint="default"/>
        <w:sz w:val="28"/>
        <w:szCs w:val="28"/>
      </w:rPr>
    </w:lvl>
    <w:lvl w:ilvl="1" w:tplc="040C0019">
      <w:start w:val="1"/>
      <w:numFmt w:val="lowerLetter"/>
      <w:lvlText w:val="%2."/>
      <w:lvlJc w:val="left"/>
      <w:pPr>
        <w:ind w:left="1788" w:hanging="360"/>
      </w:pPr>
    </w:lvl>
    <w:lvl w:ilvl="2" w:tplc="040C001B">
      <w:start w:val="1"/>
      <w:numFmt w:val="lowerRoman"/>
      <w:lvlText w:val="%3."/>
      <w:lvlJc w:val="right"/>
      <w:pPr>
        <w:ind w:left="2508" w:hanging="180"/>
      </w:pPr>
    </w:lvl>
    <w:lvl w:ilvl="3" w:tplc="040C000F">
      <w:start w:val="1"/>
      <w:numFmt w:val="decimal"/>
      <w:lvlText w:val="%4."/>
      <w:lvlJc w:val="left"/>
      <w:pPr>
        <w:ind w:left="3228" w:hanging="360"/>
      </w:pPr>
    </w:lvl>
    <w:lvl w:ilvl="4" w:tplc="040C0019">
      <w:start w:val="1"/>
      <w:numFmt w:val="lowerLetter"/>
      <w:lvlText w:val="%5."/>
      <w:lvlJc w:val="left"/>
      <w:pPr>
        <w:ind w:left="3948" w:hanging="360"/>
      </w:pPr>
    </w:lvl>
    <w:lvl w:ilvl="5" w:tplc="040C001B">
      <w:start w:val="1"/>
      <w:numFmt w:val="lowerRoman"/>
      <w:lvlText w:val="%6."/>
      <w:lvlJc w:val="right"/>
      <w:pPr>
        <w:ind w:left="4668" w:hanging="180"/>
      </w:pPr>
    </w:lvl>
    <w:lvl w:ilvl="6" w:tplc="040C000F">
      <w:start w:val="1"/>
      <w:numFmt w:val="decimal"/>
      <w:lvlText w:val="%7."/>
      <w:lvlJc w:val="left"/>
      <w:pPr>
        <w:ind w:left="5388" w:hanging="360"/>
      </w:pPr>
    </w:lvl>
    <w:lvl w:ilvl="7" w:tplc="040C0019">
      <w:start w:val="1"/>
      <w:numFmt w:val="lowerLetter"/>
      <w:lvlText w:val="%8."/>
      <w:lvlJc w:val="left"/>
      <w:pPr>
        <w:ind w:left="6108" w:hanging="360"/>
      </w:pPr>
    </w:lvl>
    <w:lvl w:ilvl="8" w:tplc="040C001B">
      <w:start w:val="1"/>
      <w:numFmt w:val="lowerRoman"/>
      <w:lvlText w:val="%9."/>
      <w:lvlJc w:val="right"/>
      <w:pPr>
        <w:ind w:left="6828" w:hanging="180"/>
      </w:pPr>
    </w:lvl>
  </w:abstractNum>
  <w:abstractNum w:abstractNumId="47">
    <w:nsid w:val="748609A8"/>
    <w:multiLevelType w:val="hybridMultilevel"/>
    <w:tmpl w:val="4AD083A2"/>
    <w:lvl w:ilvl="0" w:tplc="BB60F940">
      <w:start w:val="1"/>
      <w:numFmt w:val="bullet"/>
      <w:lvlText w:val="-"/>
      <w:lvlJc w:val="left"/>
      <w:pPr>
        <w:ind w:left="720" w:hanging="360"/>
      </w:pPr>
      <w:rPr>
        <w:rFonts w:ascii="Times New Roman" w:eastAsia="Times New Roman" w:hAnsi="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48">
    <w:nsid w:val="777B6DA5"/>
    <w:multiLevelType w:val="hybridMultilevel"/>
    <w:tmpl w:val="B5EE1BE6"/>
    <w:lvl w:ilvl="0" w:tplc="11E49D72">
      <w:start w:val="13"/>
      <w:numFmt w:val="bullet"/>
      <w:lvlText w:val="-"/>
      <w:lvlJc w:val="left"/>
      <w:pPr>
        <w:ind w:left="1068" w:hanging="360"/>
      </w:pPr>
      <w:rPr>
        <w:rFonts w:ascii="Times New Roman" w:eastAsia="Times New Roman" w:hAnsi="Times New Roman" w:hint="default"/>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cs="Wingdings" w:hint="default"/>
      </w:rPr>
    </w:lvl>
    <w:lvl w:ilvl="3" w:tplc="040C0001">
      <w:start w:val="1"/>
      <w:numFmt w:val="bullet"/>
      <w:lvlText w:val=""/>
      <w:lvlJc w:val="left"/>
      <w:pPr>
        <w:ind w:left="3228" w:hanging="360"/>
      </w:pPr>
      <w:rPr>
        <w:rFonts w:ascii="Symbol" w:hAnsi="Symbol" w:cs="Symbol" w:hint="default"/>
      </w:rPr>
    </w:lvl>
    <w:lvl w:ilvl="4" w:tplc="040C0003">
      <w:start w:val="1"/>
      <w:numFmt w:val="bullet"/>
      <w:lvlText w:val="o"/>
      <w:lvlJc w:val="left"/>
      <w:pPr>
        <w:ind w:left="3948" w:hanging="360"/>
      </w:pPr>
      <w:rPr>
        <w:rFonts w:ascii="Courier New" w:hAnsi="Courier New" w:cs="Courier New" w:hint="default"/>
      </w:rPr>
    </w:lvl>
    <w:lvl w:ilvl="5" w:tplc="040C0005">
      <w:start w:val="1"/>
      <w:numFmt w:val="bullet"/>
      <w:lvlText w:val=""/>
      <w:lvlJc w:val="left"/>
      <w:pPr>
        <w:ind w:left="4668" w:hanging="360"/>
      </w:pPr>
      <w:rPr>
        <w:rFonts w:ascii="Wingdings" w:hAnsi="Wingdings" w:cs="Wingdings" w:hint="default"/>
      </w:rPr>
    </w:lvl>
    <w:lvl w:ilvl="6" w:tplc="040C0001">
      <w:start w:val="1"/>
      <w:numFmt w:val="bullet"/>
      <w:lvlText w:val=""/>
      <w:lvlJc w:val="left"/>
      <w:pPr>
        <w:ind w:left="5388" w:hanging="360"/>
      </w:pPr>
      <w:rPr>
        <w:rFonts w:ascii="Symbol" w:hAnsi="Symbol" w:cs="Symbol" w:hint="default"/>
      </w:rPr>
    </w:lvl>
    <w:lvl w:ilvl="7" w:tplc="040C0003">
      <w:start w:val="1"/>
      <w:numFmt w:val="bullet"/>
      <w:lvlText w:val="o"/>
      <w:lvlJc w:val="left"/>
      <w:pPr>
        <w:ind w:left="6108" w:hanging="360"/>
      </w:pPr>
      <w:rPr>
        <w:rFonts w:ascii="Courier New" w:hAnsi="Courier New" w:cs="Courier New" w:hint="default"/>
      </w:rPr>
    </w:lvl>
    <w:lvl w:ilvl="8" w:tplc="040C0005">
      <w:start w:val="1"/>
      <w:numFmt w:val="bullet"/>
      <w:lvlText w:val=""/>
      <w:lvlJc w:val="left"/>
      <w:pPr>
        <w:ind w:left="6828" w:hanging="360"/>
      </w:pPr>
      <w:rPr>
        <w:rFonts w:ascii="Wingdings" w:hAnsi="Wingdings" w:cs="Wingdings" w:hint="default"/>
      </w:rPr>
    </w:lvl>
  </w:abstractNum>
  <w:num w:numId="1">
    <w:abstractNumId w:val="44"/>
  </w:num>
  <w:num w:numId="2">
    <w:abstractNumId w:val="1"/>
  </w:num>
  <w:num w:numId="3">
    <w:abstractNumId w:val="36"/>
  </w:num>
  <w:num w:numId="4">
    <w:abstractNumId w:val="28"/>
  </w:num>
  <w:num w:numId="5">
    <w:abstractNumId w:val="39"/>
  </w:num>
  <w:num w:numId="6">
    <w:abstractNumId w:val="43"/>
  </w:num>
  <w:num w:numId="7">
    <w:abstractNumId w:val="25"/>
  </w:num>
  <w:num w:numId="8">
    <w:abstractNumId w:val="33"/>
  </w:num>
  <w:num w:numId="9">
    <w:abstractNumId w:val="40"/>
  </w:num>
  <w:num w:numId="10">
    <w:abstractNumId w:val="48"/>
  </w:num>
  <w:num w:numId="11">
    <w:abstractNumId w:val="47"/>
  </w:num>
  <w:num w:numId="12">
    <w:abstractNumId w:val="38"/>
  </w:num>
  <w:num w:numId="13">
    <w:abstractNumId w:val="26"/>
  </w:num>
  <w:num w:numId="14">
    <w:abstractNumId w:val="22"/>
  </w:num>
  <w:num w:numId="15">
    <w:abstractNumId w:val="0"/>
  </w:num>
  <w:num w:numId="16">
    <w:abstractNumId w:val="23"/>
  </w:num>
  <w:num w:numId="17">
    <w:abstractNumId w:val="21"/>
  </w:num>
  <w:num w:numId="18">
    <w:abstractNumId w:val="2"/>
  </w:num>
  <w:num w:numId="19">
    <w:abstractNumId w:val="24"/>
  </w:num>
  <w:num w:numId="20">
    <w:abstractNumId w:val="35"/>
  </w:num>
  <w:num w:numId="21">
    <w:abstractNumId w:val="46"/>
  </w:num>
  <w:num w:numId="22">
    <w:abstractNumId w:val="4"/>
  </w:num>
  <w:num w:numId="23">
    <w:abstractNumId w:val="9"/>
  </w:num>
  <w:num w:numId="24">
    <w:abstractNumId w:val="17"/>
  </w:num>
  <w:num w:numId="25">
    <w:abstractNumId w:val="19"/>
  </w:num>
  <w:num w:numId="26">
    <w:abstractNumId w:val="32"/>
  </w:num>
  <w:num w:numId="27">
    <w:abstractNumId w:val="12"/>
  </w:num>
  <w:num w:numId="28">
    <w:abstractNumId w:val="18"/>
  </w:num>
  <w:num w:numId="29">
    <w:abstractNumId w:val="7"/>
  </w:num>
  <w:num w:numId="30">
    <w:abstractNumId w:val="8"/>
  </w:num>
  <w:num w:numId="31">
    <w:abstractNumId w:val="11"/>
  </w:num>
  <w:num w:numId="32">
    <w:abstractNumId w:val="29"/>
  </w:num>
  <w:num w:numId="33">
    <w:abstractNumId w:val="30"/>
  </w:num>
  <w:num w:numId="34">
    <w:abstractNumId w:val="45"/>
  </w:num>
  <w:num w:numId="35">
    <w:abstractNumId w:val="10"/>
  </w:num>
  <w:num w:numId="36">
    <w:abstractNumId w:val="34"/>
  </w:num>
  <w:num w:numId="37">
    <w:abstractNumId w:val="15"/>
  </w:num>
  <w:num w:numId="38">
    <w:abstractNumId w:val="37"/>
  </w:num>
  <w:num w:numId="39">
    <w:abstractNumId w:val="42"/>
  </w:num>
  <w:num w:numId="40">
    <w:abstractNumId w:val="20"/>
  </w:num>
  <w:num w:numId="41">
    <w:abstractNumId w:val="13"/>
  </w:num>
  <w:num w:numId="42">
    <w:abstractNumId w:val="3"/>
  </w:num>
  <w:num w:numId="43">
    <w:abstractNumId w:val="16"/>
  </w:num>
  <w:num w:numId="44">
    <w:abstractNumId w:val="6"/>
  </w:num>
  <w:num w:numId="45">
    <w:abstractNumId w:val="5"/>
  </w:num>
  <w:num w:numId="46">
    <w:abstractNumId w:val="31"/>
  </w:num>
  <w:num w:numId="47">
    <w:abstractNumId w:val="14"/>
  </w:num>
  <w:num w:numId="48">
    <w:abstractNumId w:val="27"/>
  </w:num>
  <w:num w:numId="49">
    <w:abstractNumId w:val="4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128D"/>
    <w:rsid w:val="00001FBA"/>
    <w:rsid w:val="000020F1"/>
    <w:rsid w:val="00011818"/>
    <w:rsid w:val="000213F5"/>
    <w:rsid w:val="000217A4"/>
    <w:rsid w:val="0003224A"/>
    <w:rsid w:val="00032F3C"/>
    <w:rsid w:val="0003476B"/>
    <w:rsid w:val="00036F5C"/>
    <w:rsid w:val="00047876"/>
    <w:rsid w:val="0005602E"/>
    <w:rsid w:val="00060EA3"/>
    <w:rsid w:val="000714A3"/>
    <w:rsid w:val="00085BD6"/>
    <w:rsid w:val="00086292"/>
    <w:rsid w:val="000A21A3"/>
    <w:rsid w:val="000A3F59"/>
    <w:rsid w:val="000B12E4"/>
    <w:rsid w:val="000C2DA3"/>
    <w:rsid w:val="000D6C4E"/>
    <w:rsid w:val="000D7AAE"/>
    <w:rsid w:val="000E7486"/>
    <w:rsid w:val="000F29C1"/>
    <w:rsid w:val="000F5DEB"/>
    <w:rsid w:val="001023D4"/>
    <w:rsid w:val="00126CB3"/>
    <w:rsid w:val="00136E74"/>
    <w:rsid w:val="00155AF3"/>
    <w:rsid w:val="001572DF"/>
    <w:rsid w:val="00157468"/>
    <w:rsid w:val="0016364D"/>
    <w:rsid w:val="001660CA"/>
    <w:rsid w:val="0017044B"/>
    <w:rsid w:val="00173F52"/>
    <w:rsid w:val="00176706"/>
    <w:rsid w:val="00184DE9"/>
    <w:rsid w:val="001A3E53"/>
    <w:rsid w:val="001C57E3"/>
    <w:rsid w:val="001D03CE"/>
    <w:rsid w:val="001D31B0"/>
    <w:rsid w:val="001D5E53"/>
    <w:rsid w:val="001D6EBA"/>
    <w:rsid w:val="001E62BE"/>
    <w:rsid w:val="001F473B"/>
    <w:rsid w:val="002011B7"/>
    <w:rsid w:val="00207547"/>
    <w:rsid w:val="002167BE"/>
    <w:rsid w:val="00223035"/>
    <w:rsid w:val="00225E5C"/>
    <w:rsid w:val="002334B4"/>
    <w:rsid w:val="00234FF2"/>
    <w:rsid w:val="002359E6"/>
    <w:rsid w:val="002411E5"/>
    <w:rsid w:val="00247E85"/>
    <w:rsid w:val="0025320D"/>
    <w:rsid w:val="00256F83"/>
    <w:rsid w:val="00265BC1"/>
    <w:rsid w:val="0026683A"/>
    <w:rsid w:val="002724B2"/>
    <w:rsid w:val="002823C9"/>
    <w:rsid w:val="002917C4"/>
    <w:rsid w:val="002964F9"/>
    <w:rsid w:val="00296B34"/>
    <w:rsid w:val="002978D4"/>
    <w:rsid w:val="002C3818"/>
    <w:rsid w:val="002D0857"/>
    <w:rsid w:val="002D396D"/>
    <w:rsid w:val="002E6048"/>
    <w:rsid w:val="002F6F57"/>
    <w:rsid w:val="00301F1F"/>
    <w:rsid w:val="00302635"/>
    <w:rsid w:val="00304292"/>
    <w:rsid w:val="00311927"/>
    <w:rsid w:val="00325B2E"/>
    <w:rsid w:val="003303D9"/>
    <w:rsid w:val="00337C43"/>
    <w:rsid w:val="00347C65"/>
    <w:rsid w:val="00350102"/>
    <w:rsid w:val="003502C7"/>
    <w:rsid w:val="00373938"/>
    <w:rsid w:val="00375DC2"/>
    <w:rsid w:val="00380CD9"/>
    <w:rsid w:val="00381574"/>
    <w:rsid w:val="00387D99"/>
    <w:rsid w:val="00393086"/>
    <w:rsid w:val="003A2706"/>
    <w:rsid w:val="003D1170"/>
    <w:rsid w:val="003D2044"/>
    <w:rsid w:val="003E302A"/>
    <w:rsid w:val="003F0D6B"/>
    <w:rsid w:val="004018B7"/>
    <w:rsid w:val="00414B94"/>
    <w:rsid w:val="00417F55"/>
    <w:rsid w:val="0044342C"/>
    <w:rsid w:val="004620D4"/>
    <w:rsid w:val="00464FB4"/>
    <w:rsid w:val="00471A90"/>
    <w:rsid w:val="00481B39"/>
    <w:rsid w:val="004832BA"/>
    <w:rsid w:val="00495A6A"/>
    <w:rsid w:val="004D06A0"/>
    <w:rsid w:val="005104D3"/>
    <w:rsid w:val="0051516B"/>
    <w:rsid w:val="005224AC"/>
    <w:rsid w:val="00523C2A"/>
    <w:rsid w:val="00530910"/>
    <w:rsid w:val="00541A7A"/>
    <w:rsid w:val="00541D8C"/>
    <w:rsid w:val="00547F17"/>
    <w:rsid w:val="005576B2"/>
    <w:rsid w:val="00557E43"/>
    <w:rsid w:val="005607E2"/>
    <w:rsid w:val="005608CB"/>
    <w:rsid w:val="00560EF3"/>
    <w:rsid w:val="00565214"/>
    <w:rsid w:val="00575810"/>
    <w:rsid w:val="00581E41"/>
    <w:rsid w:val="00584300"/>
    <w:rsid w:val="00586E2D"/>
    <w:rsid w:val="00590557"/>
    <w:rsid w:val="00591DE5"/>
    <w:rsid w:val="00593D6A"/>
    <w:rsid w:val="00597294"/>
    <w:rsid w:val="00597964"/>
    <w:rsid w:val="005A6926"/>
    <w:rsid w:val="005B1556"/>
    <w:rsid w:val="005B33F3"/>
    <w:rsid w:val="005B4339"/>
    <w:rsid w:val="005C3607"/>
    <w:rsid w:val="005C483C"/>
    <w:rsid w:val="005D0A46"/>
    <w:rsid w:val="005E4959"/>
    <w:rsid w:val="005E6EED"/>
    <w:rsid w:val="005F0348"/>
    <w:rsid w:val="005F1DED"/>
    <w:rsid w:val="005F3A52"/>
    <w:rsid w:val="005F4C03"/>
    <w:rsid w:val="005F618B"/>
    <w:rsid w:val="00601F2D"/>
    <w:rsid w:val="006023F3"/>
    <w:rsid w:val="006036D8"/>
    <w:rsid w:val="00606E47"/>
    <w:rsid w:val="0060788D"/>
    <w:rsid w:val="006115E4"/>
    <w:rsid w:val="006141AD"/>
    <w:rsid w:val="006156BF"/>
    <w:rsid w:val="00615C53"/>
    <w:rsid w:val="00623874"/>
    <w:rsid w:val="0063173A"/>
    <w:rsid w:val="00637BB8"/>
    <w:rsid w:val="006517B5"/>
    <w:rsid w:val="00663695"/>
    <w:rsid w:val="00663FB4"/>
    <w:rsid w:val="00664FFF"/>
    <w:rsid w:val="00667B65"/>
    <w:rsid w:val="00667D6D"/>
    <w:rsid w:val="00677822"/>
    <w:rsid w:val="00697A6C"/>
    <w:rsid w:val="006A79B0"/>
    <w:rsid w:val="006B1729"/>
    <w:rsid w:val="006B39FE"/>
    <w:rsid w:val="006B7615"/>
    <w:rsid w:val="006C0943"/>
    <w:rsid w:val="006C2BE8"/>
    <w:rsid w:val="006C56F3"/>
    <w:rsid w:val="006D1C0B"/>
    <w:rsid w:val="006D4521"/>
    <w:rsid w:val="006D4A27"/>
    <w:rsid w:val="006D5B1A"/>
    <w:rsid w:val="006F7875"/>
    <w:rsid w:val="00703F39"/>
    <w:rsid w:val="00713ADF"/>
    <w:rsid w:val="00714909"/>
    <w:rsid w:val="007277CB"/>
    <w:rsid w:val="00734AE8"/>
    <w:rsid w:val="00754765"/>
    <w:rsid w:val="00757D25"/>
    <w:rsid w:val="00762D2B"/>
    <w:rsid w:val="00774D47"/>
    <w:rsid w:val="007875BA"/>
    <w:rsid w:val="00793A08"/>
    <w:rsid w:val="00797B93"/>
    <w:rsid w:val="007A1057"/>
    <w:rsid w:val="007A2D56"/>
    <w:rsid w:val="007B0A18"/>
    <w:rsid w:val="007B0B28"/>
    <w:rsid w:val="007B155A"/>
    <w:rsid w:val="007E128D"/>
    <w:rsid w:val="007E14E3"/>
    <w:rsid w:val="007E45B7"/>
    <w:rsid w:val="007F0DAB"/>
    <w:rsid w:val="007F13A6"/>
    <w:rsid w:val="00807890"/>
    <w:rsid w:val="00817534"/>
    <w:rsid w:val="00826CCF"/>
    <w:rsid w:val="00827EA5"/>
    <w:rsid w:val="00831B3F"/>
    <w:rsid w:val="008329EE"/>
    <w:rsid w:val="0084173E"/>
    <w:rsid w:val="008650AB"/>
    <w:rsid w:val="00865AB1"/>
    <w:rsid w:val="0088013E"/>
    <w:rsid w:val="008A33F0"/>
    <w:rsid w:val="008A5B2B"/>
    <w:rsid w:val="008B41DD"/>
    <w:rsid w:val="008F2FB2"/>
    <w:rsid w:val="00901707"/>
    <w:rsid w:val="0090608A"/>
    <w:rsid w:val="009131F5"/>
    <w:rsid w:val="00915129"/>
    <w:rsid w:val="00927E85"/>
    <w:rsid w:val="00950AFE"/>
    <w:rsid w:val="00955D20"/>
    <w:rsid w:val="00977420"/>
    <w:rsid w:val="00984502"/>
    <w:rsid w:val="00984D00"/>
    <w:rsid w:val="00987E2E"/>
    <w:rsid w:val="009A55FB"/>
    <w:rsid w:val="009C5E2E"/>
    <w:rsid w:val="009C708D"/>
    <w:rsid w:val="009E1C33"/>
    <w:rsid w:val="009E455C"/>
    <w:rsid w:val="009F5D36"/>
    <w:rsid w:val="009F60D2"/>
    <w:rsid w:val="00A03CE9"/>
    <w:rsid w:val="00A11EB1"/>
    <w:rsid w:val="00A17927"/>
    <w:rsid w:val="00A179BA"/>
    <w:rsid w:val="00A17A01"/>
    <w:rsid w:val="00A252FC"/>
    <w:rsid w:val="00A26AC9"/>
    <w:rsid w:val="00A3631A"/>
    <w:rsid w:val="00A50372"/>
    <w:rsid w:val="00A65E47"/>
    <w:rsid w:val="00A96098"/>
    <w:rsid w:val="00AC2B20"/>
    <w:rsid w:val="00AD2FE9"/>
    <w:rsid w:val="00AE07D8"/>
    <w:rsid w:val="00AE20B4"/>
    <w:rsid w:val="00AE2FAC"/>
    <w:rsid w:val="00AF262F"/>
    <w:rsid w:val="00AF7273"/>
    <w:rsid w:val="00B05883"/>
    <w:rsid w:val="00B129B4"/>
    <w:rsid w:val="00B22FA3"/>
    <w:rsid w:val="00B2350A"/>
    <w:rsid w:val="00B3019E"/>
    <w:rsid w:val="00B458DC"/>
    <w:rsid w:val="00B45FAD"/>
    <w:rsid w:val="00B55202"/>
    <w:rsid w:val="00B61D37"/>
    <w:rsid w:val="00B72B80"/>
    <w:rsid w:val="00B8048A"/>
    <w:rsid w:val="00B8613D"/>
    <w:rsid w:val="00B91F67"/>
    <w:rsid w:val="00B948C1"/>
    <w:rsid w:val="00B9505B"/>
    <w:rsid w:val="00BA264E"/>
    <w:rsid w:val="00BA3A72"/>
    <w:rsid w:val="00BA7521"/>
    <w:rsid w:val="00BC0DD4"/>
    <w:rsid w:val="00BD7552"/>
    <w:rsid w:val="00BE080A"/>
    <w:rsid w:val="00BE2005"/>
    <w:rsid w:val="00BE76BF"/>
    <w:rsid w:val="00C0075C"/>
    <w:rsid w:val="00C05103"/>
    <w:rsid w:val="00C05CEC"/>
    <w:rsid w:val="00C11BBB"/>
    <w:rsid w:val="00C161AE"/>
    <w:rsid w:val="00C16445"/>
    <w:rsid w:val="00C208DD"/>
    <w:rsid w:val="00C20989"/>
    <w:rsid w:val="00C406D6"/>
    <w:rsid w:val="00C55934"/>
    <w:rsid w:val="00C645F0"/>
    <w:rsid w:val="00C81BF7"/>
    <w:rsid w:val="00C83D09"/>
    <w:rsid w:val="00C84B9B"/>
    <w:rsid w:val="00C87475"/>
    <w:rsid w:val="00C94EA0"/>
    <w:rsid w:val="00CA15FD"/>
    <w:rsid w:val="00CA645B"/>
    <w:rsid w:val="00CA6CC3"/>
    <w:rsid w:val="00CB1920"/>
    <w:rsid w:val="00CB1CB9"/>
    <w:rsid w:val="00CB3243"/>
    <w:rsid w:val="00CB4C5B"/>
    <w:rsid w:val="00CB5427"/>
    <w:rsid w:val="00CC0573"/>
    <w:rsid w:val="00CD3527"/>
    <w:rsid w:val="00CD4CA3"/>
    <w:rsid w:val="00CD7D85"/>
    <w:rsid w:val="00CF44BB"/>
    <w:rsid w:val="00CF7AA7"/>
    <w:rsid w:val="00D133EF"/>
    <w:rsid w:val="00D13D50"/>
    <w:rsid w:val="00D41EFB"/>
    <w:rsid w:val="00D602DA"/>
    <w:rsid w:val="00D622AF"/>
    <w:rsid w:val="00D658D8"/>
    <w:rsid w:val="00D6676B"/>
    <w:rsid w:val="00D71BD5"/>
    <w:rsid w:val="00D743B7"/>
    <w:rsid w:val="00D746D4"/>
    <w:rsid w:val="00D778F2"/>
    <w:rsid w:val="00D77EB3"/>
    <w:rsid w:val="00D85013"/>
    <w:rsid w:val="00D86C6B"/>
    <w:rsid w:val="00D9003E"/>
    <w:rsid w:val="00D943B6"/>
    <w:rsid w:val="00D95740"/>
    <w:rsid w:val="00DA45D9"/>
    <w:rsid w:val="00DB48B2"/>
    <w:rsid w:val="00DB612E"/>
    <w:rsid w:val="00DC200D"/>
    <w:rsid w:val="00DC2690"/>
    <w:rsid w:val="00DC548C"/>
    <w:rsid w:val="00DC751C"/>
    <w:rsid w:val="00DE156A"/>
    <w:rsid w:val="00DE4E45"/>
    <w:rsid w:val="00DF118A"/>
    <w:rsid w:val="00E0240F"/>
    <w:rsid w:val="00E02DB0"/>
    <w:rsid w:val="00E13675"/>
    <w:rsid w:val="00E14508"/>
    <w:rsid w:val="00E16979"/>
    <w:rsid w:val="00E25974"/>
    <w:rsid w:val="00E261B2"/>
    <w:rsid w:val="00E407A7"/>
    <w:rsid w:val="00E43FE8"/>
    <w:rsid w:val="00E44A61"/>
    <w:rsid w:val="00E71D37"/>
    <w:rsid w:val="00E96CB0"/>
    <w:rsid w:val="00EA1E93"/>
    <w:rsid w:val="00EA4091"/>
    <w:rsid w:val="00EA6739"/>
    <w:rsid w:val="00EB0D2C"/>
    <w:rsid w:val="00EB3009"/>
    <w:rsid w:val="00EB369F"/>
    <w:rsid w:val="00EC1B1C"/>
    <w:rsid w:val="00EC2073"/>
    <w:rsid w:val="00EC257E"/>
    <w:rsid w:val="00EE67EC"/>
    <w:rsid w:val="00F203CB"/>
    <w:rsid w:val="00F22C74"/>
    <w:rsid w:val="00F319DE"/>
    <w:rsid w:val="00F34EED"/>
    <w:rsid w:val="00F430A1"/>
    <w:rsid w:val="00F61285"/>
    <w:rsid w:val="00F61B78"/>
    <w:rsid w:val="00F712ED"/>
    <w:rsid w:val="00F713B6"/>
    <w:rsid w:val="00F7755A"/>
    <w:rsid w:val="00F827D8"/>
    <w:rsid w:val="00F94FBA"/>
    <w:rsid w:val="00F95626"/>
    <w:rsid w:val="00FB23A2"/>
    <w:rsid w:val="00FC1F62"/>
    <w:rsid w:val="00FD07A6"/>
    <w:rsid w:val="00FE4693"/>
    <w:rsid w:val="00FF4F43"/>
    <w:rsid w:val="00FF743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1E41"/>
    <w:pPr>
      <w:spacing w:before="120" w:after="120" w:line="360" w:lineRule="auto"/>
      <w:ind w:firstLine="567"/>
      <w:jc w:val="both"/>
    </w:pPr>
    <w:rPr>
      <w:rFonts w:ascii="Times New Roman" w:eastAsia="Times New Roman" w:hAnsi="Times New Roman" w:cs="Calibri"/>
      <w:sz w:val="24"/>
      <w:lang w:eastAsia="fr-FR"/>
    </w:rPr>
  </w:style>
  <w:style w:type="paragraph" w:styleId="Titre1">
    <w:name w:val="heading 1"/>
    <w:basedOn w:val="Normal"/>
    <w:link w:val="Titre1Car"/>
    <w:uiPriority w:val="99"/>
    <w:qFormat/>
    <w:rsid w:val="00984D00"/>
    <w:pPr>
      <w:spacing w:before="240" w:after="240"/>
      <w:ind w:firstLine="0"/>
      <w:outlineLvl w:val="0"/>
    </w:pPr>
    <w:rPr>
      <w:rFonts w:cs="Arial"/>
      <w:b/>
      <w:bCs/>
      <w:kern w:val="36"/>
      <w:sz w:val="28"/>
      <w:szCs w:val="48"/>
    </w:rPr>
  </w:style>
  <w:style w:type="paragraph" w:styleId="Titre2">
    <w:name w:val="heading 2"/>
    <w:basedOn w:val="Normal"/>
    <w:next w:val="Normal"/>
    <w:link w:val="Titre2Car"/>
    <w:autoRedefine/>
    <w:uiPriority w:val="9"/>
    <w:unhideWhenUsed/>
    <w:qFormat/>
    <w:rsid w:val="00C55934"/>
    <w:pPr>
      <w:keepNext/>
      <w:ind w:left="644" w:hanging="360"/>
      <w:outlineLvl w:val="1"/>
    </w:pPr>
    <w:rPr>
      <w:rFonts w:cs="Times New Roman"/>
      <w:b/>
      <w:bCs/>
      <w:iCs/>
      <w:szCs w:val="28"/>
    </w:rPr>
  </w:style>
  <w:style w:type="paragraph" w:styleId="Titre3">
    <w:name w:val="heading 3"/>
    <w:basedOn w:val="Normal"/>
    <w:next w:val="Normal"/>
    <w:link w:val="Titre3Car"/>
    <w:autoRedefine/>
    <w:uiPriority w:val="9"/>
    <w:unhideWhenUsed/>
    <w:qFormat/>
    <w:rsid w:val="00373938"/>
    <w:pPr>
      <w:keepNext/>
      <w:numPr>
        <w:numId w:val="1"/>
      </w:numPr>
      <w:ind w:left="720"/>
      <w:outlineLvl w:val="2"/>
    </w:pPr>
    <w:rPr>
      <w:rFonts w:eastAsiaTheme="majorEastAsia" w:cstheme="majorBidi"/>
      <w:b/>
      <w:bCs/>
      <w:szCs w:val="26"/>
    </w:rPr>
  </w:style>
  <w:style w:type="paragraph" w:styleId="Titre4">
    <w:name w:val="heading 4"/>
    <w:basedOn w:val="Normal"/>
    <w:next w:val="Normal"/>
    <w:link w:val="Titre4Car"/>
    <w:uiPriority w:val="99"/>
    <w:qFormat/>
    <w:rsid w:val="001D5E53"/>
    <w:pPr>
      <w:keepNext/>
      <w:numPr>
        <w:numId w:val="13"/>
      </w:numPr>
      <w:spacing w:before="240" w:after="60"/>
      <w:outlineLvl w:val="3"/>
    </w:pPr>
    <w:rPr>
      <w:rFonts w:cs="Arial"/>
      <w:b/>
      <w:bCs/>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9"/>
    <w:rsid w:val="00984D00"/>
    <w:rPr>
      <w:rFonts w:ascii="Times New Roman" w:eastAsia="Times New Roman" w:hAnsi="Times New Roman" w:cs="Arial"/>
      <w:b/>
      <w:bCs/>
      <w:kern w:val="36"/>
      <w:sz w:val="28"/>
      <w:szCs w:val="48"/>
      <w:lang w:eastAsia="fr-FR"/>
    </w:rPr>
  </w:style>
  <w:style w:type="character" w:customStyle="1" w:styleId="Titre2Car">
    <w:name w:val="Titre 2 Car"/>
    <w:link w:val="Titre2"/>
    <w:uiPriority w:val="9"/>
    <w:rsid w:val="00C55934"/>
    <w:rPr>
      <w:rFonts w:ascii="Times New Roman" w:eastAsia="Times New Roman" w:hAnsi="Times New Roman" w:cs="Times New Roman"/>
      <w:b/>
      <w:bCs/>
      <w:iCs/>
      <w:sz w:val="24"/>
      <w:szCs w:val="28"/>
      <w:lang w:eastAsia="fr-FR"/>
    </w:rPr>
  </w:style>
  <w:style w:type="character" w:customStyle="1" w:styleId="Titre3Car">
    <w:name w:val="Titre 3 Car"/>
    <w:basedOn w:val="Policepardfaut"/>
    <w:link w:val="Titre3"/>
    <w:uiPriority w:val="9"/>
    <w:rsid w:val="00373938"/>
    <w:rPr>
      <w:rFonts w:ascii="Times New Roman" w:eastAsiaTheme="majorEastAsia" w:hAnsi="Times New Roman" w:cstheme="majorBidi"/>
      <w:b/>
      <w:bCs/>
      <w:sz w:val="24"/>
      <w:szCs w:val="26"/>
      <w:lang w:eastAsia="fr-FR"/>
    </w:rPr>
  </w:style>
  <w:style w:type="character" w:customStyle="1" w:styleId="Titre4Car">
    <w:name w:val="Titre 4 Car"/>
    <w:basedOn w:val="Policepardfaut"/>
    <w:link w:val="Titre4"/>
    <w:uiPriority w:val="99"/>
    <w:rsid w:val="001D5E53"/>
    <w:rPr>
      <w:rFonts w:ascii="Times New Roman" w:eastAsia="Times New Roman" w:hAnsi="Times New Roman" w:cs="Arial"/>
      <w:b/>
      <w:bCs/>
      <w:sz w:val="28"/>
      <w:szCs w:val="28"/>
      <w:lang w:eastAsia="fr-FR"/>
    </w:rPr>
  </w:style>
  <w:style w:type="paragraph" w:styleId="Textedebulles">
    <w:name w:val="Balloon Text"/>
    <w:basedOn w:val="Normal"/>
    <w:link w:val="TextedebullesCar"/>
    <w:uiPriority w:val="99"/>
    <w:semiHidden/>
    <w:rsid w:val="001D5E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D5E53"/>
    <w:rPr>
      <w:rFonts w:ascii="Tahoma" w:eastAsia="Times New Roman" w:hAnsi="Tahoma" w:cs="Tahoma"/>
      <w:sz w:val="16"/>
      <w:szCs w:val="16"/>
      <w:lang w:eastAsia="fr-FR"/>
    </w:rPr>
  </w:style>
  <w:style w:type="paragraph" w:styleId="Paragraphedeliste">
    <w:name w:val="List Paragraph"/>
    <w:basedOn w:val="Normal"/>
    <w:uiPriority w:val="34"/>
    <w:qFormat/>
    <w:rsid w:val="001D5E53"/>
    <w:pPr>
      <w:ind w:left="720"/>
    </w:pPr>
  </w:style>
  <w:style w:type="paragraph" w:styleId="En-tte">
    <w:name w:val="header"/>
    <w:basedOn w:val="Normal"/>
    <w:link w:val="En-tteCar"/>
    <w:uiPriority w:val="99"/>
    <w:rsid w:val="001D5E53"/>
    <w:pPr>
      <w:tabs>
        <w:tab w:val="center" w:pos="4536"/>
        <w:tab w:val="right" w:pos="9072"/>
      </w:tabs>
      <w:spacing w:after="0" w:line="240" w:lineRule="auto"/>
    </w:pPr>
  </w:style>
  <w:style w:type="character" w:customStyle="1" w:styleId="En-tteCar">
    <w:name w:val="En-tête Car"/>
    <w:basedOn w:val="Policepardfaut"/>
    <w:link w:val="En-tte"/>
    <w:uiPriority w:val="99"/>
    <w:rsid w:val="001D5E53"/>
    <w:rPr>
      <w:rFonts w:ascii="Times New Roman" w:eastAsia="Times New Roman" w:hAnsi="Times New Roman" w:cs="Calibri"/>
      <w:sz w:val="24"/>
      <w:lang w:eastAsia="fr-FR"/>
    </w:rPr>
  </w:style>
  <w:style w:type="paragraph" w:styleId="Pieddepage">
    <w:name w:val="footer"/>
    <w:basedOn w:val="Normal"/>
    <w:link w:val="PieddepageCar"/>
    <w:uiPriority w:val="99"/>
    <w:rsid w:val="001D5E5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D5E53"/>
    <w:rPr>
      <w:rFonts w:ascii="Times New Roman" w:eastAsia="Times New Roman" w:hAnsi="Times New Roman" w:cs="Calibri"/>
      <w:sz w:val="24"/>
      <w:lang w:eastAsia="fr-FR"/>
    </w:rPr>
  </w:style>
  <w:style w:type="table" w:styleId="Grilledutableau">
    <w:name w:val="Table Grid"/>
    <w:basedOn w:val="TableauNormal"/>
    <w:uiPriority w:val="99"/>
    <w:rsid w:val="001D5E53"/>
    <w:pPr>
      <w:spacing w:after="0" w:line="240" w:lineRule="auto"/>
    </w:pPr>
    <w:rPr>
      <w:rFonts w:ascii="Calibri" w:eastAsia="Times New Roman" w:hAnsi="Calibri" w:cs="Calibri"/>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tedebasdepage">
    <w:name w:val="footnote text"/>
    <w:basedOn w:val="Normal"/>
    <w:link w:val="NotedebasdepageCar"/>
    <w:uiPriority w:val="99"/>
    <w:semiHidden/>
    <w:rsid w:val="001D5E5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D5E53"/>
    <w:rPr>
      <w:rFonts w:ascii="Times New Roman" w:eastAsia="Times New Roman" w:hAnsi="Times New Roman" w:cs="Calibri"/>
      <w:sz w:val="20"/>
      <w:szCs w:val="20"/>
      <w:lang w:eastAsia="fr-FR"/>
    </w:rPr>
  </w:style>
  <w:style w:type="character" w:styleId="Appelnotedebasdep">
    <w:name w:val="footnote reference"/>
    <w:uiPriority w:val="99"/>
    <w:semiHidden/>
    <w:rsid w:val="001D5E53"/>
    <w:rPr>
      <w:vertAlign w:val="superscript"/>
    </w:rPr>
  </w:style>
  <w:style w:type="character" w:styleId="Marquedecommentaire">
    <w:name w:val="annotation reference"/>
    <w:uiPriority w:val="99"/>
    <w:semiHidden/>
    <w:rsid w:val="001D5E53"/>
    <w:rPr>
      <w:sz w:val="16"/>
      <w:szCs w:val="16"/>
    </w:rPr>
  </w:style>
  <w:style w:type="paragraph" w:styleId="Commentaire">
    <w:name w:val="annotation text"/>
    <w:basedOn w:val="Normal"/>
    <w:link w:val="CommentaireCar"/>
    <w:uiPriority w:val="99"/>
    <w:semiHidden/>
    <w:rsid w:val="001D5E53"/>
    <w:rPr>
      <w:sz w:val="20"/>
      <w:szCs w:val="20"/>
    </w:rPr>
  </w:style>
  <w:style w:type="character" w:customStyle="1" w:styleId="CommentaireCar">
    <w:name w:val="Commentaire Car"/>
    <w:basedOn w:val="Policepardfaut"/>
    <w:link w:val="Commentaire"/>
    <w:uiPriority w:val="99"/>
    <w:semiHidden/>
    <w:rsid w:val="001D5E53"/>
    <w:rPr>
      <w:rFonts w:ascii="Times New Roman" w:eastAsia="Times New Roman" w:hAnsi="Times New Roman" w:cs="Calibri"/>
      <w:sz w:val="20"/>
      <w:szCs w:val="20"/>
      <w:lang w:eastAsia="fr-FR"/>
    </w:rPr>
  </w:style>
  <w:style w:type="paragraph" w:styleId="Objetducommentaire">
    <w:name w:val="annotation subject"/>
    <w:basedOn w:val="Commentaire"/>
    <w:next w:val="Commentaire"/>
    <w:link w:val="ObjetducommentaireCar"/>
    <w:uiPriority w:val="99"/>
    <w:semiHidden/>
    <w:rsid w:val="001D5E53"/>
    <w:rPr>
      <w:b/>
      <w:bCs/>
    </w:rPr>
  </w:style>
  <w:style w:type="character" w:customStyle="1" w:styleId="ObjetducommentaireCar">
    <w:name w:val="Objet du commentaire Car"/>
    <w:basedOn w:val="CommentaireCar"/>
    <w:link w:val="Objetducommentaire"/>
    <w:uiPriority w:val="99"/>
    <w:semiHidden/>
    <w:rsid w:val="001D5E53"/>
    <w:rPr>
      <w:rFonts w:ascii="Times New Roman" w:eastAsia="Times New Roman" w:hAnsi="Times New Roman" w:cs="Calibri"/>
      <w:b/>
      <w:bCs/>
      <w:sz w:val="20"/>
      <w:szCs w:val="20"/>
      <w:lang w:eastAsia="fr-FR"/>
    </w:rPr>
  </w:style>
  <w:style w:type="paragraph" w:styleId="En-ttedetabledesmatires">
    <w:name w:val="TOC Heading"/>
    <w:basedOn w:val="Titre1"/>
    <w:next w:val="Normal"/>
    <w:uiPriority w:val="39"/>
    <w:semiHidden/>
    <w:unhideWhenUsed/>
    <w:qFormat/>
    <w:rsid w:val="001D5E53"/>
    <w:pPr>
      <w:keepNext/>
      <w:keepLines/>
      <w:spacing w:before="480" w:after="0" w:line="276" w:lineRule="auto"/>
      <w:outlineLvl w:val="9"/>
    </w:pPr>
    <w:rPr>
      <w:rFonts w:ascii="Cambria" w:hAnsi="Cambria" w:cs="Times New Roman"/>
      <w:color w:val="365F91"/>
      <w:kern w:val="0"/>
      <w:szCs w:val="28"/>
    </w:rPr>
  </w:style>
  <w:style w:type="paragraph" w:styleId="TM2">
    <w:name w:val="toc 2"/>
    <w:basedOn w:val="Normal"/>
    <w:next w:val="Normal"/>
    <w:autoRedefine/>
    <w:uiPriority w:val="39"/>
    <w:unhideWhenUsed/>
    <w:rsid w:val="00663FB4"/>
    <w:pPr>
      <w:tabs>
        <w:tab w:val="right" w:leader="dot" w:pos="9062"/>
      </w:tabs>
    </w:pPr>
  </w:style>
  <w:style w:type="paragraph" w:styleId="TM3">
    <w:name w:val="toc 3"/>
    <w:basedOn w:val="Normal"/>
    <w:next w:val="Normal"/>
    <w:autoRedefine/>
    <w:uiPriority w:val="39"/>
    <w:unhideWhenUsed/>
    <w:rsid w:val="00977420"/>
    <w:pPr>
      <w:tabs>
        <w:tab w:val="left" w:pos="1540"/>
        <w:tab w:val="right" w:leader="dot" w:pos="9062"/>
      </w:tabs>
      <w:ind w:left="440"/>
    </w:pPr>
  </w:style>
  <w:style w:type="character" w:styleId="Lienhypertexte">
    <w:name w:val="Hyperlink"/>
    <w:uiPriority w:val="99"/>
    <w:unhideWhenUsed/>
    <w:rsid w:val="001D5E53"/>
    <w:rPr>
      <w:color w:val="0000FF"/>
      <w:u w:val="single"/>
    </w:rPr>
  </w:style>
  <w:style w:type="paragraph" w:styleId="Titre">
    <w:name w:val="Title"/>
    <w:basedOn w:val="Normal"/>
    <w:next w:val="Normal"/>
    <w:link w:val="TitreCar"/>
    <w:uiPriority w:val="10"/>
    <w:qFormat/>
    <w:rsid w:val="001D5E53"/>
    <w:pPr>
      <w:spacing w:before="240" w:after="60"/>
      <w:jc w:val="center"/>
      <w:outlineLvl w:val="0"/>
    </w:pPr>
    <w:rPr>
      <w:rFonts w:ascii="Cambria" w:hAnsi="Cambria" w:cs="Times New Roman"/>
      <w:b/>
      <w:bCs/>
      <w:kern w:val="28"/>
      <w:sz w:val="32"/>
      <w:szCs w:val="32"/>
    </w:rPr>
  </w:style>
  <w:style w:type="character" w:customStyle="1" w:styleId="TitreCar">
    <w:name w:val="Titre Car"/>
    <w:basedOn w:val="Policepardfaut"/>
    <w:link w:val="Titre"/>
    <w:uiPriority w:val="10"/>
    <w:rsid w:val="001D5E53"/>
    <w:rPr>
      <w:rFonts w:ascii="Cambria" w:eastAsia="Times New Roman" w:hAnsi="Cambria" w:cs="Times New Roman"/>
      <w:b/>
      <w:bCs/>
      <w:kern w:val="28"/>
      <w:sz w:val="32"/>
      <w:szCs w:val="32"/>
      <w:lang w:eastAsia="fr-FR"/>
    </w:rPr>
  </w:style>
  <w:style w:type="paragraph" w:styleId="Sansinterligne">
    <w:name w:val="No Spacing"/>
    <w:uiPriority w:val="1"/>
    <w:qFormat/>
    <w:rsid w:val="001D5E53"/>
    <w:pPr>
      <w:spacing w:after="0" w:line="240" w:lineRule="auto"/>
    </w:pPr>
    <w:rPr>
      <w:rFonts w:ascii="Times New Roman" w:eastAsia="Times New Roman" w:hAnsi="Times New Roman" w:cs="Calibri"/>
      <w:sz w:val="20"/>
      <w:lang w:eastAsia="fr-FR"/>
    </w:rPr>
  </w:style>
  <w:style w:type="paragraph" w:styleId="TM1">
    <w:name w:val="toc 1"/>
    <w:basedOn w:val="Normal"/>
    <w:next w:val="Normal"/>
    <w:autoRedefine/>
    <w:uiPriority w:val="39"/>
    <w:unhideWhenUsed/>
    <w:rsid w:val="004620D4"/>
    <w:pPr>
      <w:tabs>
        <w:tab w:val="left" w:pos="660"/>
        <w:tab w:val="right" w:leader="dot" w:pos="9062"/>
      </w:tabs>
      <w:ind w:firstLine="0"/>
      <w:jc w:val="center"/>
    </w:pPr>
  </w:style>
  <w:style w:type="paragraph" w:styleId="NormalWeb">
    <w:name w:val="Normal (Web)"/>
    <w:basedOn w:val="Normal"/>
    <w:uiPriority w:val="99"/>
    <w:semiHidden/>
    <w:rsid w:val="001D5E53"/>
    <w:rPr>
      <w:rFonts w:eastAsia="Calibri" w:cs="Times New Roman"/>
      <w:szCs w:val="24"/>
      <w:lang w:eastAsia="en-US"/>
    </w:rPr>
  </w:style>
  <w:style w:type="character" w:styleId="Lienhypertextesuivivisit">
    <w:name w:val="FollowedHyperlink"/>
    <w:basedOn w:val="Policepardfaut"/>
    <w:uiPriority w:val="99"/>
    <w:semiHidden/>
    <w:unhideWhenUsed/>
    <w:rsid w:val="005F1DED"/>
    <w:rPr>
      <w:color w:val="800080" w:themeColor="followedHyperlink"/>
      <w:u w:val="single"/>
    </w:rPr>
  </w:style>
  <w:style w:type="paragraph" w:styleId="TM4">
    <w:name w:val="toc 4"/>
    <w:basedOn w:val="Normal"/>
    <w:next w:val="Normal"/>
    <w:autoRedefine/>
    <w:uiPriority w:val="39"/>
    <w:unhideWhenUsed/>
    <w:rsid w:val="007F0DAB"/>
    <w:pPr>
      <w:spacing w:before="0" w:after="100" w:line="276" w:lineRule="auto"/>
      <w:ind w:left="660" w:firstLine="0"/>
      <w:jc w:val="left"/>
    </w:pPr>
    <w:rPr>
      <w:rFonts w:asciiTheme="minorHAnsi" w:eastAsiaTheme="minorEastAsia" w:hAnsiTheme="minorHAnsi" w:cstheme="minorBidi"/>
      <w:sz w:val="22"/>
    </w:rPr>
  </w:style>
  <w:style w:type="paragraph" w:styleId="TM5">
    <w:name w:val="toc 5"/>
    <w:basedOn w:val="Normal"/>
    <w:next w:val="Normal"/>
    <w:autoRedefine/>
    <w:uiPriority w:val="39"/>
    <w:unhideWhenUsed/>
    <w:rsid w:val="007F0DAB"/>
    <w:pPr>
      <w:spacing w:before="0" w:after="100" w:line="276" w:lineRule="auto"/>
      <w:ind w:left="880" w:firstLine="0"/>
      <w:jc w:val="left"/>
    </w:pPr>
    <w:rPr>
      <w:rFonts w:asciiTheme="minorHAnsi" w:eastAsiaTheme="minorEastAsia" w:hAnsiTheme="minorHAnsi" w:cstheme="minorBidi"/>
      <w:sz w:val="22"/>
    </w:rPr>
  </w:style>
  <w:style w:type="paragraph" w:styleId="TM6">
    <w:name w:val="toc 6"/>
    <w:basedOn w:val="Normal"/>
    <w:next w:val="Normal"/>
    <w:autoRedefine/>
    <w:uiPriority w:val="39"/>
    <w:unhideWhenUsed/>
    <w:rsid w:val="007F0DAB"/>
    <w:pPr>
      <w:spacing w:before="0" w:after="100" w:line="276" w:lineRule="auto"/>
      <w:ind w:left="1100" w:firstLine="0"/>
      <w:jc w:val="left"/>
    </w:pPr>
    <w:rPr>
      <w:rFonts w:asciiTheme="minorHAnsi" w:eastAsiaTheme="minorEastAsia" w:hAnsiTheme="minorHAnsi" w:cstheme="minorBidi"/>
      <w:sz w:val="22"/>
    </w:rPr>
  </w:style>
  <w:style w:type="paragraph" w:styleId="TM7">
    <w:name w:val="toc 7"/>
    <w:basedOn w:val="Normal"/>
    <w:next w:val="Normal"/>
    <w:autoRedefine/>
    <w:uiPriority w:val="39"/>
    <w:unhideWhenUsed/>
    <w:rsid w:val="007F0DAB"/>
    <w:pPr>
      <w:spacing w:before="0" w:after="100" w:line="276" w:lineRule="auto"/>
      <w:ind w:left="1320" w:firstLine="0"/>
      <w:jc w:val="left"/>
    </w:pPr>
    <w:rPr>
      <w:rFonts w:asciiTheme="minorHAnsi" w:eastAsiaTheme="minorEastAsia" w:hAnsiTheme="minorHAnsi" w:cstheme="minorBidi"/>
      <w:sz w:val="22"/>
    </w:rPr>
  </w:style>
  <w:style w:type="paragraph" w:styleId="TM8">
    <w:name w:val="toc 8"/>
    <w:basedOn w:val="Normal"/>
    <w:next w:val="Normal"/>
    <w:autoRedefine/>
    <w:uiPriority w:val="39"/>
    <w:unhideWhenUsed/>
    <w:rsid w:val="007F0DAB"/>
    <w:pPr>
      <w:spacing w:before="0" w:after="100" w:line="276" w:lineRule="auto"/>
      <w:ind w:left="1540" w:firstLine="0"/>
      <w:jc w:val="left"/>
    </w:pPr>
    <w:rPr>
      <w:rFonts w:asciiTheme="minorHAnsi" w:eastAsiaTheme="minorEastAsia" w:hAnsiTheme="minorHAnsi" w:cstheme="minorBidi"/>
      <w:sz w:val="22"/>
    </w:rPr>
  </w:style>
  <w:style w:type="paragraph" w:styleId="TM9">
    <w:name w:val="toc 9"/>
    <w:basedOn w:val="Normal"/>
    <w:next w:val="Normal"/>
    <w:autoRedefine/>
    <w:uiPriority w:val="39"/>
    <w:unhideWhenUsed/>
    <w:rsid w:val="007F0DAB"/>
    <w:pPr>
      <w:spacing w:before="0" w:after="100" w:line="276" w:lineRule="auto"/>
      <w:ind w:left="1760" w:firstLine="0"/>
      <w:jc w:val="left"/>
    </w:pPr>
    <w:rPr>
      <w:rFonts w:asciiTheme="minorHAnsi" w:eastAsiaTheme="minorEastAsia" w:hAnsiTheme="minorHAnsi" w:cstheme="minorBid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1E41"/>
    <w:pPr>
      <w:spacing w:before="120" w:after="120" w:line="360" w:lineRule="auto"/>
      <w:ind w:firstLine="567"/>
      <w:jc w:val="both"/>
    </w:pPr>
    <w:rPr>
      <w:rFonts w:ascii="Times New Roman" w:eastAsia="Times New Roman" w:hAnsi="Times New Roman" w:cs="Calibri"/>
      <w:sz w:val="24"/>
      <w:lang w:eastAsia="fr-FR"/>
    </w:rPr>
  </w:style>
  <w:style w:type="paragraph" w:styleId="Titre1">
    <w:name w:val="heading 1"/>
    <w:basedOn w:val="Normal"/>
    <w:link w:val="Titre1Car"/>
    <w:uiPriority w:val="99"/>
    <w:qFormat/>
    <w:rsid w:val="00984D00"/>
    <w:pPr>
      <w:spacing w:before="240" w:after="240"/>
      <w:ind w:firstLine="0"/>
      <w:outlineLvl w:val="0"/>
    </w:pPr>
    <w:rPr>
      <w:rFonts w:cs="Arial"/>
      <w:b/>
      <w:bCs/>
      <w:kern w:val="36"/>
      <w:sz w:val="28"/>
      <w:szCs w:val="48"/>
    </w:rPr>
  </w:style>
  <w:style w:type="paragraph" w:styleId="Titre2">
    <w:name w:val="heading 2"/>
    <w:basedOn w:val="Normal"/>
    <w:next w:val="Normal"/>
    <w:link w:val="Titre2Car"/>
    <w:autoRedefine/>
    <w:uiPriority w:val="9"/>
    <w:unhideWhenUsed/>
    <w:qFormat/>
    <w:rsid w:val="00C55934"/>
    <w:pPr>
      <w:keepNext/>
      <w:ind w:left="644" w:hanging="360"/>
      <w:outlineLvl w:val="1"/>
    </w:pPr>
    <w:rPr>
      <w:rFonts w:cs="Times New Roman"/>
      <w:b/>
      <w:bCs/>
      <w:iCs/>
      <w:szCs w:val="28"/>
    </w:rPr>
  </w:style>
  <w:style w:type="paragraph" w:styleId="Titre3">
    <w:name w:val="heading 3"/>
    <w:basedOn w:val="Normal"/>
    <w:next w:val="Normal"/>
    <w:link w:val="Titre3Car"/>
    <w:autoRedefine/>
    <w:uiPriority w:val="9"/>
    <w:unhideWhenUsed/>
    <w:qFormat/>
    <w:rsid w:val="00373938"/>
    <w:pPr>
      <w:keepNext/>
      <w:numPr>
        <w:numId w:val="1"/>
      </w:numPr>
      <w:ind w:left="720"/>
      <w:outlineLvl w:val="2"/>
    </w:pPr>
    <w:rPr>
      <w:rFonts w:eastAsiaTheme="majorEastAsia" w:cstheme="majorBidi"/>
      <w:b/>
      <w:bCs/>
      <w:szCs w:val="26"/>
    </w:rPr>
  </w:style>
  <w:style w:type="paragraph" w:styleId="Titre4">
    <w:name w:val="heading 4"/>
    <w:basedOn w:val="Normal"/>
    <w:next w:val="Normal"/>
    <w:link w:val="Titre4Car"/>
    <w:uiPriority w:val="99"/>
    <w:qFormat/>
    <w:rsid w:val="001D5E53"/>
    <w:pPr>
      <w:keepNext/>
      <w:numPr>
        <w:numId w:val="13"/>
      </w:numPr>
      <w:spacing w:before="240" w:after="60"/>
      <w:outlineLvl w:val="3"/>
    </w:pPr>
    <w:rPr>
      <w:rFonts w:cs="Arial"/>
      <w:b/>
      <w:bCs/>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9"/>
    <w:rsid w:val="00984D00"/>
    <w:rPr>
      <w:rFonts w:ascii="Times New Roman" w:eastAsia="Times New Roman" w:hAnsi="Times New Roman" w:cs="Arial"/>
      <w:b/>
      <w:bCs/>
      <w:kern w:val="36"/>
      <w:sz w:val="28"/>
      <w:szCs w:val="48"/>
      <w:lang w:eastAsia="fr-FR"/>
    </w:rPr>
  </w:style>
  <w:style w:type="character" w:customStyle="1" w:styleId="Titre2Car">
    <w:name w:val="Titre 2 Car"/>
    <w:link w:val="Titre2"/>
    <w:uiPriority w:val="9"/>
    <w:rsid w:val="00C55934"/>
    <w:rPr>
      <w:rFonts w:ascii="Times New Roman" w:eastAsia="Times New Roman" w:hAnsi="Times New Roman" w:cs="Times New Roman"/>
      <w:b/>
      <w:bCs/>
      <w:iCs/>
      <w:sz w:val="24"/>
      <w:szCs w:val="28"/>
      <w:lang w:eastAsia="fr-FR"/>
    </w:rPr>
  </w:style>
  <w:style w:type="character" w:customStyle="1" w:styleId="Titre3Car">
    <w:name w:val="Titre 3 Car"/>
    <w:basedOn w:val="Policepardfaut"/>
    <w:link w:val="Titre3"/>
    <w:uiPriority w:val="9"/>
    <w:rsid w:val="00373938"/>
    <w:rPr>
      <w:rFonts w:ascii="Times New Roman" w:eastAsiaTheme="majorEastAsia" w:hAnsi="Times New Roman" w:cstheme="majorBidi"/>
      <w:b/>
      <w:bCs/>
      <w:sz w:val="24"/>
      <w:szCs w:val="26"/>
      <w:lang w:eastAsia="fr-FR"/>
    </w:rPr>
  </w:style>
  <w:style w:type="character" w:customStyle="1" w:styleId="Titre4Car">
    <w:name w:val="Titre 4 Car"/>
    <w:basedOn w:val="Policepardfaut"/>
    <w:link w:val="Titre4"/>
    <w:uiPriority w:val="99"/>
    <w:rsid w:val="001D5E53"/>
    <w:rPr>
      <w:rFonts w:ascii="Times New Roman" w:eastAsia="Times New Roman" w:hAnsi="Times New Roman" w:cs="Arial"/>
      <w:b/>
      <w:bCs/>
      <w:sz w:val="28"/>
      <w:szCs w:val="28"/>
      <w:lang w:eastAsia="fr-FR"/>
    </w:rPr>
  </w:style>
  <w:style w:type="paragraph" w:styleId="Textedebulles">
    <w:name w:val="Balloon Text"/>
    <w:basedOn w:val="Normal"/>
    <w:link w:val="TextedebullesCar"/>
    <w:uiPriority w:val="99"/>
    <w:semiHidden/>
    <w:rsid w:val="001D5E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D5E53"/>
    <w:rPr>
      <w:rFonts w:ascii="Tahoma" w:eastAsia="Times New Roman" w:hAnsi="Tahoma" w:cs="Tahoma"/>
      <w:sz w:val="16"/>
      <w:szCs w:val="16"/>
      <w:lang w:eastAsia="fr-FR"/>
    </w:rPr>
  </w:style>
  <w:style w:type="paragraph" w:styleId="Paragraphedeliste">
    <w:name w:val="List Paragraph"/>
    <w:basedOn w:val="Normal"/>
    <w:uiPriority w:val="34"/>
    <w:qFormat/>
    <w:rsid w:val="001D5E53"/>
    <w:pPr>
      <w:ind w:left="720"/>
    </w:pPr>
  </w:style>
  <w:style w:type="paragraph" w:styleId="En-tte">
    <w:name w:val="header"/>
    <w:basedOn w:val="Normal"/>
    <w:link w:val="En-tteCar"/>
    <w:uiPriority w:val="99"/>
    <w:rsid w:val="001D5E53"/>
    <w:pPr>
      <w:tabs>
        <w:tab w:val="center" w:pos="4536"/>
        <w:tab w:val="right" w:pos="9072"/>
      </w:tabs>
      <w:spacing w:after="0" w:line="240" w:lineRule="auto"/>
    </w:pPr>
  </w:style>
  <w:style w:type="character" w:customStyle="1" w:styleId="En-tteCar">
    <w:name w:val="En-tête Car"/>
    <w:basedOn w:val="Policepardfaut"/>
    <w:link w:val="En-tte"/>
    <w:uiPriority w:val="99"/>
    <w:rsid w:val="001D5E53"/>
    <w:rPr>
      <w:rFonts w:ascii="Times New Roman" w:eastAsia="Times New Roman" w:hAnsi="Times New Roman" w:cs="Calibri"/>
      <w:sz w:val="24"/>
      <w:lang w:eastAsia="fr-FR"/>
    </w:rPr>
  </w:style>
  <w:style w:type="paragraph" w:styleId="Pieddepage">
    <w:name w:val="footer"/>
    <w:basedOn w:val="Normal"/>
    <w:link w:val="PieddepageCar"/>
    <w:uiPriority w:val="99"/>
    <w:rsid w:val="001D5E5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D5E53"/>
    <w:rPr>
      <w:rFonts w:ascii="Times New Roman" w:eastAsia="Times New Roman" w:hAnsi="Times New Roman" w:cs="Calibri"/>
      <w:sz w:val="24"/>
      <w:lang w:eastAsia="fr-FR"/>
    </w:rPr>
  </w:style>
  <w:style w:type="table" w:styleId="Grilledutableau">
    <w:name w:val="Table Grid"/>
    <w:basedOn w:val="TableauNormal"/>
    <w:uiPriority w:val="99"/>
    <w:rsid w:val="001D5E53"/>
    <w:pPr>
      <w:spacing w:after="0" w:line="240" w:lineRule="auto"/>
    </w:pPr>
    <w:rPr>
      <w:rFonts w:ascii="Calibri" w:eastAsia="Times New Roman" w:hAnsi="Calibri" w:cs="Calibri"/>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tedebasdepage">
    <w:name w:val="footnote text"/>
    <w:basedOn w:val="Normal"/>
    <w:link w:val="NotedebasdepageCar"/>
    <w:uiPriority w:val="99"/>
    <w:semiHidden/>
    <w:rsid w:val="001D5E5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D5E53"/>
    <w:rPr>
      <w:rFonts w:ascii="Times New Roman" w:eastAsia="Times New Roman" w:hAnsi="Times New Roman" w:cs="Calibri"/>
      <w:sz w:val="20"/>
      <w:szCs w:val="20"/>
      <w:lang w:eastAsia="fr-FR"/>
    </w:rPr>
  </w:style>
  <w:style w:type="character" w:styleId="Appelnotedebasdep">
    <w:name w:val="footnote reference"/>
    <w:uiPriority w:val="99"/>
    <w:semiHidden/>
    <w:rsid w:val="001D5E53"/>
    <w:rPr>
      <w:vertAlign w:val="superscript"/>
    </w:rPr>
  </w:style>
  <w:style w:type="character" w:styleId="Marquedecommentaire">
    <w:name w:val="annotation reference"/>
    <w:uiPriority w:val="99"/>
    <w:semiHidden/>
    <w:rsid w:val="001D5E53"/>
    <w:rPr>
      <w:sz w:val="16"/>
      <w:szCs w:val="16"/>
    </w:rPr>
  </w:style>
  <w:style w:type="paragraph" w:styleId="Commentaire">
    <w:name w:val="annotation text"/>
    <w:basedOn w:val="Normal"/>
    <w:link w:val="CommentaireCar"/>
    <w:uiPriority w:val="99"/>
    <w:semiHidden/>
    <w:rsid w:val="001D5E53"/>
    <w:rPr>
      <w:sz w:val="20"/>
      <w:szCs w:val="20"/>
    </w:rPr>
  </w:style>
  <w:style w:type="character" w:customStyle="1" w:styleId="CommentaireCar">
    <w:name w:val="Commentaire Car"/>
    <w:basedOn w:val="Policepardfaut"/>
    <w:link w:val="Commentaire"/>
    <w:uiPriority w:val="99"/>
    <w:semiHidden/>
    <w:rsid w:val="001D5E53"/>
    <w:rPr>
      <w:rFonts w:ascii="Times New Roman" w:eastAsia="Times New Roman" w:hAnsi="Times New Roman" w:cs="Calibri"/>
      <w:sz w:val="20"/>
      <w:szCs w:val="20"/>
      <w:lang w:eastAsia="fr-FR"/>
    </w:rPr>
  </w:style>
  <w:style w:type="paragraph" w:styleId="Objetducommentaire">
    <w:name w:val="annotation subject"/>
    <w:basedOn w:val="Commentaire"/>
    <w:next w:val="Commentaire"/>
    <w:link w:val="ObjetducommentaireCar"/>
    <w:uiPriority w:val="99"/>
    <w:semiHidden/>
    <w:rsid w:val="001D5E53"/>
    <w:rPr>
      <w:b/>
      <w:bCs/>
    </w:rPr>
  </w:style>
  <w:style w:type="character" w:customStyle="1" w:styleId="ObjetducommentaireCar">
    <w:name w:val="Objet du commentaire Car"/>
    <w:basedOn w:val="CommentaireCar"/>
    <w:link w:val="Objetducommentaire"/>
    <w:uiPriority w:val="99"/>
    <w:semiHidden/>
    <w:rsid w:val="001D5E53"/>
    <w:rPr>
      <w:rFonts w:ascii="Times New Roman" w:eastAsia="Times New Roman" w:hAnsi="Times New Roman" w:cs="Calibri"/>
      <w:b/>
      <w:bCs/>
      <w:sz w:val="20"/>
      <w:szCs w:val="20"/>
      <w:lang w:eastAsia="fr-FR"/>
    </w:rPr>
  </w:style>
  <w:style w:type="paragraph" w:styleId="En-ttedetabledesmatires">
    <w:name w:val="TOC Heading"/>
    <w:basedOn w:val="Titre1"/>
    <w:next w:val="Normal"/>
    <w:uiPriority w:val="39"/>
    <w:semiHidden/>
    <w:unhideWhenUsed/>
    <w:qFormat/>
    <w:rsid w:val="001D5E53"/>
    <w:pPr>
      <w:keepNext/>
      <w:keepLines/>
      <w:spacing w:before="480" w:after="0" w:line="276" w:lineRule="auto"/>
      <w:outlineLvl w:val="9"/>
    </w:pPr>
    <w:rPr>
      <w:rFonts w:ascii="Cambria" w:hAnsi="Cambria" w:cs="Times New Roman"/>
      <w:color w:val="365F91"/>
      <w:kern w:val="0"/>
      <w:szCs w:val="28"/>
    </w:rPr>
  </w:style>
  <w:style w:type="paragraph" w:styleId="TM2">
    <w:name w:val="toc 2"/>
    <w:basedOn w:val="Normal"/>
    <w:next w:val="Normal"/>
    <w:autoRedefine/>
    <w:uiPriority w:val="39"/>
    <w:unhideWhenUsed/>
    <w:rsid w:val="00663FB4"/>
    <w:pPr>
      <w:tabs>
        <w:tab w:val="right" w:leader="dot" w:pos="9062"/>
      </w:tabs>
    </w:pPr>
  </w:style>
  <w:style w:type="paragraph" w:styleId="TM3">
    <w:name w:val="toc 3"/>
    <w:basedOn w:val="Normal"/>
    <w:next w:val="Normal"/>
    <w:autoRedefine/>
    <w:uiPriority w:val="39"/>
    <w:unhideWhenUsed/>
    <w:rsid w:val="00977420"/>
    <w:pPr>
      <w:tabs>
        <w:tab w:val="left" w:pos="1540"/>
        <w:tab w:val="right" w:leader="dot" w:pos="9062"/>
      </w:tabs>
      <w:ind w:left="440"/>
    </w:pPr>
  </w:style>
  <w:style w:type="character" w:styleId="Lienhypertexte">
    <w:name w:val="Hyperlink"/>
    <w:uiPriority w:val="99"/>
    <w:unhideWhenUsed/>
    <w:rsid w:val="001D5E53"/>
    <w:rPr>
      <w:color w:val="0000FF"/>
      <w:u w:val="single"/>
    </w:rPr>
  </w:style>
  <w:style w:type="paragraph" w:styleId="Titre">
    <w:name w:val="Title"/>
    <w:basedOn w:val="Normal"/>
    <w:next w:val="Normal"/>
    <w:link w:val="TitreCar"/>
    <w:uiPriority w:val="10"/>
    <w:qFormat/>
    <w:rsid w:val="001D5E53"/>
    <w:pPr>
      <w:spacing w:before="240" w:after="60"/>
      <w:jc w:val="center"/>
      <w:outlineLvl w:val="0"/>
    </w:pPr>
    <w:rPr>
      <w:rFonts w:ascii="Cambria" w:hAnsi="Cambria" w:cs="Times New Roman"/>
      <w:b/>
      <w:bCs/>
      <w:kern w:val="28"/>
      <w:sz w:val="32"/>
      <w:szCs w:val="32"/>
    </w:rPr>
  </w:style>
  <w:style w:type="character" w:customStyle="1" w:styleId="TitreCar">
    <w:name w:val="Titre Car"/>
    <w:basedOn w:val="Policepardfaut"/>
    <w:link w:val="Titre"/>
    <w:uiPriority w:val="10"/>
    <w:rsid w:val="001D5E53"/>
    <w:rPr>
      <w:rFonts w:ascii="Cambria" w:eastAsia="Times New Roman" w:hAnsi="Cambria" w:cs="Times New Roman"/>
      <w:b/>
      <w:bCs/>
      <w:kern w:val="28"/>
      <w:sz w:val="32"/>
      <w:szCs w:val="32"/>
      <w:lang w:eastAsia="fr-FR"/>
    </w:rPr>
  </w:style>
  <w:style w:type="paragraph" w:styleId="Sansinterligne">
    <w:name w:val="No Spacing"/>
    <w:uiPriority w:val="1"/>
    <w:qFormat/>
    <w:rsid w:val="001D5E53"/>
    <w:pPr>
      <w:spacing w:after="0" w:line="240" w:lineRule="auto"/>
    </w:pPr>
    <w:rPr>
      <w:rFonts w:ascii="Times New Roman" w:eastAsia="Times New Roman" w:hAnsi="Times New Roman" w:cs="Calibri"/>
      <w:sz w:val="20"/>
      <w:lang w:eastAsia="fr-FR"/>
    </w:rPr>
  </w:style>
  <w:style w:type="paragraph" w:styleId="TM1">
    <w:name w:val="toc 1"/>
    <w:basedOn w:val="Normal"/>
    <w:next w:val="Normal"/>
    <w:autoRedefine/>
    <w:uiPriority w:val="39"/>
    <w:unhideWhenUsed/>
    <w:rsid w:val="004620D4"/>
    <w:pPr>
      <w:tabs>
        <w:tab w:val="left" w:pos="660"/>
        <w:tab w:val="right" w:leader="dot" w:pos="9062"/>
      </w:tabs>
      <w:ind w:firstLine="0"/>
      <w:jc w:val="center"/>
    </w:pPr>
  </w:style>
  <w:style w:type="paragraph" w:styleId="NormalWeb">
    <w:name w:val="Normal (Web)"/>
    <w:basedOn w:val="Normal"/>
    <w:uiPriority w:val="99"/>
    <w:semiHidden/>
    <w:rsid w:val="001D5E53"/>
    <w:rPr>
      <w:rFonts w:eastAsia="Calibri" w:cs="Times New Roman"/>
      <w:szCs w:val="24"/>
      <w:lang w:eastAsia="en-US"/>
    </w:rPr>
  </w:style>
  <w:style w:type="character" w:styleId="Lienhypertextesuivivisit">
    <w:name w:val="FollowedHyperlink"/>
    <w:basedOn w:val="Policepardfaut"/>
    <w:uiPriority w:val="99"/>
    <w:semiHidden/>
    <w:unhideWhenUsed/>
    <w:rsid w:val="005F1DED"/>
    <w:rPr>
      <w:color w:val="800080" w:themeColor="followedHyperlink"/>
      <w:u w:val="single"/>
    </w:rPr>
  </w:style>
  <w:style w:type="paragraph" w:styleId="TM4">
    <w:name w:val="toc 4"/>
    <w:basedOn w:val="Normal"/>
    <w:next w:val="Normal"/>
    <w:autoRedefine/>
    <w:uiPriority w:val="39"/>
    <w:unhideWhenUsed/>
    <w:rsid w:val="007F0DAB"/>
    <w:pPr>
      <w:spacing w:before="0" w:after="100" w:line="276" w:lineRule="auto"/>
      <w:ind w:left="660" w:firstLine="0"/>
      <w:jc w:val="left"/>
    </w:pPr>
    <w:rPr>
      <w:rFonts w:asciiTheme="minorHAnsi" w:eastAsiaTheme="minorEastAsia" w:hAnsiTheme="minorHAnsi" w:cstheme="minorBidi"/>
      <w:sz w:val="22"/>
    </w:rPr>
  </w:style>
  <w:style w:type="paragraph" w:styleId="TM5">
    <w:name w:val="toc 5"/>
    <w:basedOn w:val="Normal"/>
    <w:next w:val="Normal"/>
    <w:autoRedefine/>
    <w:uiPriority w:val="39"/>
    <w:unhideWhenUsed/>
    <w:rsid w:val="007F0DAB"/>
    <w:pPr>
      <w:spacing w:before="0" w:after="100" w:line="276" w:lineRule="auto"/>
      <w:ind w:left="880" w:firstLine="0"/>
      <w:jc w:val="left"/>
    </w:pPr>
    <w:rPr>
      <w:rFonts w:asciiTheme="minorHAnsi" w:eastAsiaTheme="minorEastAsia" w:hAnsiTheme="minorHAnsi" w:cstheme="minorBidi"/>
      <w:sz w:val="22"/>
    </w:rPr>
  </w:style>
  <w:style w:type="paragraph" w:styleId="TM6">
    <w:name w:val="toc 6"/>
    <w:basedOn w:val="Normal"/>
    <w:next w:val="Normal"/>
    <w:autoRedefine/>
    <w:uiPriority w:val="39"/>
    <w:unhideWhenUsed/>
    <w:rsid w:val="007F0DAB"/>
    <w:pPr>
      <w:spacing w:before="0" w:after="100" w:line="276" w:lineRule="auto"/>
      <w:ind w:left="1100" w:firstLine="0"/>
      <w:jc w:val="left"/>
    </w:pPr>
    <w:rPr>
      <w:rFonts w:asciiTheme="minorHAnsi" w:eastAsiaTheme="minorEastAsia" w:hAnsiTheme="minorHAnsi" w:cstheme="minorBidi"/>
      <w:sz w:val="22"/>
    </w:rPr>
  </w:style>
  <w:style w:type="paragraph" w:styleId="TM7">
    <w:name w:val="toc 7"/>
    <w:basedOn w:val="Normal"/>
    <w:next w:val="Normal"/>
    <w:autoRedefine/>
    <w:uiPriority w:val="39"/>
    <w:unhideWhenUsed/>
    <w:rsid w:val="007F0DAB"/>
    <w:pPr>
      <w:spacing w:before="0" w:after="100" w:line="276" w:lineRule="auto"/>
      <w:ind w:left="1320" w:firstLine="0"/>
      <w:jc w:val="left"/>
    </w:pPr>
    <w:rPr>
      <w:rFonts w:asciiTheme="minorHAnsi" w:eastAsiaTheme="minorEastAsia" w:hAnsiTheme="minorHAnsi" w:cstheme="minorBidi"/>
      <w:sz w:val="22"/>
    </w:rPr>
  </w:style>
  <w:style w:type="paragraph" w:styleId="TM8">
    <w:name w:val="toc 8"/>
    <w:basedOn w:val="Normal"/>
    <w:next w:val="Normal"/>
    <w:autoRedefine/>
    <w:uiPriority w:val="39"/>
    <w:unhideWhenUsed/>
    <w:rsid w:val="007F0DAB"/>
    <w:pPr>
      <w:spacing w:before="0" w:after="100" w:line="276" w:lineRule="auto"/>
      <w:ind w:left="1540" w:firstLine="0"/>
      <w:jc w:val="left"/>
    </w:pPr>
    <w:rPr>
      <w:rFonts w:asciiTheme="minorHAnsi" w:eastAsiaTheme="minorEastAsia" w:hAnsiTheme="minorHAnsi" w:cstheme="minorBidi"/>
      <w:sz w:val="22"/>
    </w:rPr>
  </w:style>
  <w:style w:type="paragraph" w:styleId="TM9">
    <w:name w:val="toc 9"/>
    <w:basedOn w:val="Normal"/>
    <w:next w:val="Normal"/>
    <w:autoRedefine/>
    <w:uiPriority w:val="39"/>
    <w:unhideWhenUsed/>
    <w:rsid w:val="007F0DAB"/>
    <w:pPr>
      <w:spacing w:before="0" w:after="100" w:line="276" w:lineRule="auto"/>
      <w:ind w:left="1760" w:firstLine="0"/>
      <w:jc w:val="left"/>
    </w:pPr>
    <w:rPr>
      <w:rFonts w:asciiTheme="minorHAnsi" w:eastAsiaTheme="minorEastAsia" w:hAnsiTheme="minorHAnsi" w:cstheme="minorBid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2528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6.xml"/><Relationship Id="rId26" Type="http://schemas.openxmlformats.org/officeDocument/2006/relationships/chart" Target="charts/chart3.xml"/><Relationship Id="rId39" Type="http://schemas.openxmlformats.org/officeDocument/2006/relationships/image" Target="media/image12.jpeg"/><Relationship Id="rId21" Type="http://schemas.openxmlformats.org/officeDocument/2006/relationships/image" Target="media/image3.png"/><Relationship Id="rId34" Type="http://schemas.openxmlformats.org/officeDocument/2006/relationships/header" Target="header9.xml"/><Relationship Id="rId42" Type="http://schemas.openxmlformats.org/officeDocument/2006/relationships/image" Target="media/image13.jpeg"/><Relationship Id="rId47" Type="http://schemas.openxmlformats.org/officeDocument/2006/relationships/footer" Target="footer9.xml"/><Relationship Id="rId50" Type="http://schemas.openxmlformats.org/officeDocument/2006/relationships/image" Target="media/image17.jpeg"/><Relationship Id="rId55" Type="http://schemas.openxmlformats.org/officeDocument/2006/relationships/footer" Target="footer13.xml"/><Relationship Id="rId63" Type="http://schemas.openxmlformats.org/officeDocument/2006/relationships/header" Target="header13.xml"/><Relationship Id="rId68" Type="http://schemas.openxmlformats.org/officeDocument/2006/relationships/footer" Target="footer19.xml"/><Relationship Id="rId76" Type="http://schemas.openxmlformats.org/officeDocument/2006/relationships/hyperlink" Target="http://www.lnr-dz.com/index.php?page=details&amp;id=23117" TargetMode="External"/><Relationship Id="rId7" Type="http://schemas.openxmlformats.org/officeDocument/2006/relationships/footnotes" Target="footnotes.xml"/><Relationship Id="rId71" Type="http://schemas.openxmlformats.org/officeDocument/2006/relationships/hyperlink" Target="http://www.bank-of-algeria.dz/html/marche3.htm" TargetMode="Externa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7.png"/><Relationship Id="rId11" Type="http://schemas.openxmlformats.org/officeDocument/2006/relationships/header" Target="header1.xml"/><Relationship Id="rId24" Type="http://schemas.openxmlformats.org/officeDocument/2006/relationships/image" Target="media/image4.png"/><Relationship Id="rId32" Type="http://schemas.openxmlformats.org/officeDocument/2006/relationships/image" Target="media/image10.png"/><Relationship Id="rId37" Type="http://schemas.openxmlformats.org/officeDocument/2006/relationships/header" Target="header11.xml"/><Relationship Id="rId40" Type="http://schemas.openxmlformats.org/officeDocument/2006/relationships/header" Target="header12.xml"/><Relationship Id="rId45" Type="http://schemas.openxmlformats.org/officeDocument/2006/relationships/footer" Target="footer8.xml"/><Relationship Id="rId53" Type="http://schemas.openxmlformats.org/officeDocument/2006/relationships/footer" Target="footer12.xml"/><Relationship Id="rId58" Type="http://schemas.openxmlformats.org/officeDocument/2006/relationships/image" Target="media/image21.jpeg"/><Relationship Id="rId66" Type="http://schemas.openxmlformats.org/officeDocument/2006/relationships/footer" Target="footer18.xml"/><Relationship Id="rId74" Type="http://schemas.openxmlformats.org/officeDocument/2006/relationships/hyperlink" Target="http://www.liberte-algerie.com/actualite/la-banque-dalgerie-poursuit-la-resorption-de-lexces-de-liquidites-225793/print/1" TargetMode="External"/><Relationship Id="rId79" Type="http://schemas.openxmlformats.org/officeDocument/2006/relationships/header" Target="header17.xml"/><Relationship Id="rId5" Type="http://schemas.openxmlformats.org/officeDocument/2006/relationships/settings" Target="settings.xml"/><Relationship Id="rId61" Type="http://schemas.openxmlformats.org/officeDocument/2006/relationships/footer" Target="footer16.xml"/><Relationship Id="rId82"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3.xml"/><Relationship Id="rId31" Type="http://schemas.openxmlformats.org/officeDocument/2006/relationships/image" Target="media/image9.png"/><Relationship Id="rId44" Type="http://schemas.openxmlformats.org/officeDocument/2006/relationships/image" Target="media/image14.jpeg"/><Relationship Id="rId52" Type="http://schemas.openxmlformats.org/officeDocument/2006/relationships/image" Target="media/image18.jpeg"/><Relationship Id="rId60" Type="http://schemas.openxmlformats.org/officeDocument/2006/relationships/image" Target="media/image22.jpeg"/><Relationship Id="rId65" Type="http://schemas.openxmlformats.org/officeDocument/2006/relationships/header" Target="header14.xml"/><Relationship Id="rId73" Type="http://schemas.openxmlformats.org/officeDocument/2006/relationships/hyperlink" Target="http://www.lafinancepourtous.com/Decryptages/Mots-de-la-finance/Ratio-de-solvabilite-bancaire" TargetMode="External"/><Relationship Id="rId78" Type="http://schemas.openxmlformats.org/officeDocument/2006/relationships/footer" Target="footer20.xml"/><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chart" Target="charts/chart1.xml"/><Relationship Id="rId27" Type="http://schemas.openxmlformats.org/officeDocument/2006/relationships/image" Target="media/image6.emf"/><Relationship Id="rId30" Type="http://schemas.openxmlformats.org/officeDocument/2006/relationships/image" Target="media/image8.png"/><Relationship Id="rId35" Type="http://schemas.openxmlformats.org/officeDocument/2006/relationships/header" Target="header10.xml"/><Relationship Id="rId43" Type="http://schemas.openxmlformats.org/officeDocument/2006/relationships/footer" Target="footer7.xml"/><Relationship Id="rId48" Type="http://schemas.openxmlformats.org/officeDocument/2006/relationships/image" Target="media/image16.jpeg"/><Relationship Id="rId56" Type="http://schemas.openxmlformats.org/officeDocument/2006/relationships/image" Target="media/image20.jpeg"/><Relationship Id="rId64" Type="http://schemas.openxmlformats.org/officeDocument/2006/relationships/footer" Target="footer17.xml"/><Relationship Id="rId69" Type="http://schemas.openxmlformats.org/officeDocument/2006/relationships/hyperlink" Target="http://perspective.usherbrooke.ca/bilan/tend/DZA/fr/NY.GDS.TOTL.ZS.html" TargetMode="External"/><Relationship Id="rId77" Type="http://schemas.openxmlformats.org/officeDocument/2006/relationships/header" Target="header16.xml"/><Relationship Id="rId8" Type="http://schemas.openxmlformats.org/officeDocument/2006/relationships/endnotes" Target="endnotes.xml"/><Relationship Id="rId51" Type="http://schemas.openxmlformats.org/officeDocument/2006/relationships/footer" Target="footer11.xml"/><Relationship Id="rId72" Type="http://schemas.openxmlformats.org/officeDocument/2006/relationships/hyperlink" Target="http://www.comptanat.fr/keynes/k4.htm" TargetMode="External"/><Relationship Id="rId80" Type="http://schemas.openxmlformats.org/officeDocument/2006/relationships/footer" Target="footer2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2.xml"/><Relationship Id="rId25" Type="http://schemas.openxmlformats.org/officeDocument/2006/relationships/image" Target="media/image5.png"/><Relationship Id="rId33" Type="http://schemas.openxmlformats.org/officeDocument/2006/relationships/image" Target="media/image11.png"/><Relationship Id="rId38" Type="http://schemas.openxmlformats.org/officeDocument/2006/relationships/footer" Target="footer5.xml"/><Relationship Id="rId46" Type="http://schemas.openxmlformats.org/officeDocument/2006/relationships/image" Target="media/image15.jpeg"/><Relationship Id="rId59" Type="http://schemas.openxmlformats.org/officeDocument/2006/relationships/footer" Target="footer15.xml"/><Relationship Id="rId67" Type="http://schemas.openxmlformats.org/officeDocument/2006/relationships/header" Target="header15.xml"/><Relationship Id="rId20" Type="http://schemas.openxmlformats.org/officeDocument/2006/relationships/header" Target="header7.xml"/><Relationship Id="rId41" Type="http://schemas.openxmlformats.org/officeDocument/2006/relationships/footer" Target="footer6.xml"/><Relationship Id="rId54" Type="http://schemas.openxmlformats.org/officeDocument/2006/relationships/image" Target="media/image19.jpeg"/><Relationship Id="rId62" Type="http://schemas.openxmlformats.org/officeDocument/2006/relationships/image" Target="media/image23.jpeg"/><Relationship Id="rId70" Type="http://schemas.openxmlformats.org/officeDocument/2006/relationships/hyperlink" Target="http://www.algerie-dz.com/forums//showthread.php?t=356396" TargetMode="External"/><Relationship Id="rId75" Type="http://schemas.openxmlformats.org/officeDocument/2006/relationships/hyperlink" Target="http://www.toupie.org/Dictionnaire/Pib.ht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chart" Target="charts/chart2.xml"/><Relationship Id="rId28" Type="http://schemas.openxmlformats.org/officeDocument/2006/relationships/header" Target="header8.xml"/><Relationship Id="rId36" Type="http://schemas.openxmlformats.org/officeDocument/2006/relationships/footer" Target="footer4.xml"/><Relationship Id="rId49" Type="http://schemas.openxmlformats.org/officeDocument/2006/relationships/footer" Target="footer10.xml"/><Relationship Id="rId57" Type="http://schemas.openxmlformats.org/officeDocument/2006/relationships/footer" Target="footer14.xml"/></Relationships>
</file>

<file path=word/_rels/footnotes.xml.rels><?xml version="1.0" encoding="UTF-8" standalone="yes"?>
<Relationships xmlns="http://schemas.openxmlformats.org/package/2006/relationships"><Relationship Id="rId8" Type="http://schemas.openxmlformats.org/officeDocument/2006/relationships/hyperlink" Target="http://www.banque-info.com/lexique-bancaire/c/creance" TargetMode="External"/><Relationship Id="rId13" Type="http://schemas.openxmlformats.org/officeDocument/2006/relationships/hyperlink" Target="http://www.banque-info.com/lexique-bancaire/r/ratio" TargetMode="External"/><Relationship Id="rId3" Type="http://schemas.openxmlformats.org/officeDocument/2006/relationships/hyperlink" Target="http://www.toupie.org/Dictionnaire/Pib.htm" TargetMode="External"/><Relationship Id="rId7" Type="http://schemas.openxmlformats.org/officeDocument/2006/relationships/hyperlink" Target="http://www.banque-info.com/lexique-bancaire/e/entreprise" TargetMode="External"/><Relationship Id="rId12" Type="http://schemas.openxmlformats.org/officeDocument/2006/relationships/hyperlink" Target="http://www.banque-info.com/lexique-bancaire/t/terme" TargetMode="External"/><Relationship Id="rId2" Type="http://schemas.openxmlformats.org/officeDocument/2006/relationships/hyperlink" Target="http://perspective.usherbrooke.ca/bilan/tend/DZA/fr/NY.GDS.TOTL.ZS.html" TargetMode="External"/><Relationship Id="rId1" Type="http://schemas.openxmlformats.org/officeDocument/2006/relationships/hyperlink" Target="http://www.lnr-dz.com/index.php?page=details&amp;id=23117" TargetMode="External"/><Relationship Id="rId6" Type="http://schemas.openxmlformats.org/officeDocument/2006/relationships/hyperlink" Target="http://www.banque-info.com/lexique-bancaire/r/ratio" TargetMode="External"/><Relationship Id="rId11" Type="http://schemas.openxmlformats.org/officeDocument/2006/relationships/hyperlink" Target="http://www.banque-info.com/lexique-bancaire/e/entreprise" TargetMode="External"/><Relationship Id="rId5" Type="http://schemas.openxmlformats.org/officeDocument/2006/relationships/hyperlink" Target="http://www.bank-of-algeria.dz/html/marche3.htm" TargetMode="External"/><Relationship Id="rId15" Type="http://schemas.openxmlformats.org/officeDocument/2006/relationships/hyperlink" Target="http://www.banque-info.com/lexique-bancaire/t/terme" TargetMode="External"/><Relationship Id="rId10" Type="http://schemas.openxmlformats.org/officeDocument/2006/relationships/hyperlink" Target="http://www.banque-info.com/lexique-bancaire/r/ratio" TargetMode="External"/><Relationship Id="rId4" Type="http://schemas.openxmlformats.org/officeDocument/2006/relationships/hyperlink" Target="http://www.lafinancepourtous.com/Decryptages/Mots-de-la-finance/Ratio-de-solvabilite-bancaire" TargetMode="External"/><Relationship Id="rId9" Type="http://schemas.openxmlformats.org/officeDocument/2006/relationships/hyperlink" Target="http://www.banque-info.com/lexique-bancaire/t/terme" TargetMode="External"/><Relationship Id="rId14" Type="http://schemas.openxmlformats.org/officeDocument/2006/relationships/hyperlink" Target="http://www.banque-info.com/lexique-bancaire/e/entreprise"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5.9990339749198332E-2"/>
          <c:y val="8.7708411448568932E-2"/>
          <c:w val="0.60561023622047683"/>
          <c:h val="0.81288026496687915"/>
        </c:manualLayout>
      </c:layout>
      <c:barChart>
        <c:barDir val="col"/>
        <c:grouping val="clustered"/>
        <c:varyColors val="0"/>
        <c:ser>
          <c:idx val="0"/>
          <c:order val="0"/>
          <c:tx>
            <c:strRef>
              <c:f>Feuil1!$B$1</c:f>
              <c:strCache>
                <c:ptCount val="1"/>
                <c:pt idx="0">
                  <c:v>Epargne nationale</c:v>
                </c:pt>
              </c:strCache>
            </c:strRef>
          </c:tx>
          <c:invertIfNegative val="0"/>
          <c:cat>
            <c:numRef>
              <c:f>Feuil1!$A$2:$A$7</c:f>
              <c:numCache>
                <c:formatCode>General</c:formatCode>
                <c:ptCount val="6"/>
                <c:pt idx="0">
                  <c:v>2002</c:v>
                </c:pt>
                <c:pt idx="1">
                  <c:v>2003</c:v>
                </c:pt>
                <c:pt idx="2">
                  <c:v>2004</c:v>
                </c:pt>
                <c:pt idx="3">
                  <c:v>2005</c:v>
                </c:pt>
                <c:pt idx="4">
                  <c:v>2006</c:v>
                </c:pt>
                <c:pt idx="5">
                  <c:v>2007</c:v>
                </c:pt>
              </c:numCache>
            </c:numRef>
          </c:cat>
          <c:val>
            <c:numRef>
              <c:f>Feuil1!$B$2:$B$7</c:f>
              <c:numCache>
                <c:formatCode>General</c:formatCode>
                <c:ptCount val="6"/>
                <c:pt idx="0">
                  <c:v>40.200000000000003</c:v>
                </c:pt>
                <c:pt idx="1">
                  <c:v>43.2</c:v>
                </c:pt>
                <c:pt idx="2">
                  <c:v>46.2</c:v>
                </c:pt>
                <c:pt idx="3">
                  <c:v>51.8</c:v>
                </c:pt>
                <c:pt idx="4">
                  <c:v>54.9</c:v>
                </c:pt>
                <c:pt idx="5">
                  <c:v>57.2</c:v>
                </c:pt>
              </c:numCache>
            </c:numRef>
          </c:val>
        </c:ser>
        <c:ser>
          <c:idx val="1"/>
          <c:order val="1"/>
          <c:tx>
            <c:strRef>
              <c:f>Feuil1!$C$1</c:f>
              <c:strCache>
                <c:ptCount val="1"/>
                <c:pt idx="0">
                  <c:v>investissement</c:v>
                </c:pt>
              </c:strCache>
            </c:strRef>
          </c:tx>
          <c:invertIfNegative val="0"/>
          <c:cat>
            <c:numRef>
              <c:f>Feuil1!$A$2:$A$7</c:f>
              <c:numCache>
                <c:formatCode>General</c:formatCode>
                <c:ptCount val="6"/>
                <c:pt idx="0">
                  <c:v>2002</c:v>
                </c:pt>
                <c:pt idx="1">
                  <c:v>2003</c:v>
                </c:pt>
                <c:pt idx="2">
                  <c:v>2004</c:v>
                </c:pt>
                <c:pt idx="3">
                  <c:v>2005</c:v>
                </c:pt>
                <c:pt idx="4">
                  <c:v>2006</c:v>
                </c:pt>
                <c:pt idx="5">
                  <c:v>2007</c:v>
                </c:pt>
              </c:numCache>
            </c:numRef>
          </c:cat>
          <c:val>
            <c:numRef>
              <c:f>Feuil1!$C$2:$C$7</c:f>
              <c:numCache>
                <c:formatCode>General</c:formatCode>
                <c:ptCount val="6"/>
                <c:pt idx="0">
                  <c:v>30.2</c:v>
                </c:pt>
                <c:pt idx="1">
                  <c:v>30.3</c:v>
                </c:pt>
                <c:pt idx="2">
                  <c:v>33.200000000000003</c:v>
                </c:pt>
                <c:pt idx="3">
                  <c:v>31.2</c:v>
                </c:pt>
                <c:pt idx="4">
                  <c:v>29.7</c:v>
                </c:pt>
                <c:pt idx="5">
                  <c:v>34.6</c:v>
                </c:pt>
              </c:numCache>
            </c:numRef>
          </c:val>
        </c:ser>
        <c:ser>
          <c:idx val="2"/>
          <c:order val="2"/>
          <c:tx>
            <c:strRef>
              <c:f>Feuil1!$D$1</c:f>
              <c:strCache>
                <c:ptCount val="1"/>
                <c:pt idx="0">
                  <c:v>épargne-investissement</c:v>
                </c:pt>
              </c:strCache>
            </c:strRef>
          </c:tx>
          <c:invertIfNegative val="0"/>
          <c:cat>
            <c:numRef>
              <c:f>Feuil1!$A$2:$A$7</c:f>
              <c:numCache>
                <c:formatCode>General</c:formatCode>
                <c:ptCount val="6"/>
                <c:pt idx="0">
                  <c:v>2002</c:v>
                </c:pt>
                <c:pt idx="1">
                  <c:v>2003</c:v>
                </c:pt>
                <c:pt idx="2">
                  <c:v>2004</c:v>
                </c:pt>
                <c:pt idx="3">
                  <c:v>2005</c:v>
                </c:pt>
                <c:pt idx="4">
                  <c:v>2006</c:v>
                </c:pt>
                <c:pt idx="5">
                  <c:v>2007</c:v>
                </c:pt>
              </c:numCache>
            </c:numRef>
          </c:cat>
          <c:val>
            <c:numRef>
              <c:f>Feuil1!$D$2:$D$7</c:f>
              <c:numCache>
                <c:formatCode>General</c:formatCode>
                <c:ptCount val="6"/>
                <c:pt idx="0">
                  <c:v>10</c:v>
                </c:pt>
                <c:pt idx="1">
                  <c:v>12.9</c:v>
                </c:pt>
                <c:pt idx="2">
                  <c:v>13</c:v>
                </c:pt>
                <c:pt idx="3">
                  <c:v>20.6</c:v>
                </c:pt>
                <c:pt idx="4">
                  <c:v>25.2</c:v>
                </c:pt>
                <c:pt idx="5">
                  <c:v>22.6</c:v>
                </c:pt>
              </c:numCache>
            </c:numRef>
          </c:val>
        </c:ser>
        <c:dLbls>
          <c:showLegendKey val="0"/>
          <c:showVal val="0"/>
          <c:showCatName val="0"/>
          <c:showSerName val="0"/>
          <c:showPercent val="0"/>
          <c:showBubbleSize val="0"/>
        </c:dLbls>
        <c:gapWidth val="150"/>
        <c:axId val="310530048"/>
        <c:axId val="310531584"/>
      </c:barChart>
      <c:catAx>
        <c:axId val="310530048"/>
        <c:scaling>
          <c:orientation val="minMax"/>
        </c:scaling>
        <c:delete val="0"/>
        <c:axPos val="b"/>
        <c:numFmt formatCode="General" sourceLinked="1"/>
        <c:majorTickMark val="out"/>
        <c:minorTickMark val="none"/>
        <c:tickLblPos val="nextTo"/>
        <c:crossAx val="310531584"/>
        <c:crosses val="autoZero"/>
        <c:auto val="1"/>
        <c:lblAlgn val="ctr"/>
        <c:lblOffset val="100"/>
        <c:noMultiLvlLbl val="0"/>
      </c:catAx>
      <c:valAx>
        <c:axId val="310531584"/>
        <c:scaling>
          <c:orientation val="minMax"/>
        </c:scaling>
        <c:delete val="0"/>
        <c:axPos val="l"/>
        <c:majorGridlines/>
        <c:numFmt formatCode="General" sourceLinked="1"/>
        <c:majorTickMark val="out"/>
        <c:minorTickMark val="none"/>
        <c:tickLblPos val="nextTo"/>
        <c:crossAx val="310530048"/>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Feuil1!$B$1</c:f>
              <c:strCache>
                <c:ptCount val="1"/>
                <c:pt idx="0">
                  <c:v>taux de croissance du PIB</c:v>
                </c:pt>
              </c:strCache>
            </c:strRef>
          </c:tx>
          <c:invertIfNegative val="0"/>
          <c:cat>
            <c:numRef>
              <c:f>Feuil1!$A$2:$A$8</c:f>
              <c:numCache>
                <c:formatCode>General</c:formatCode>
                <c:ptCount val="7"/>
                <c:pt idx="0">
                  <c:v>2009</c:v>
                </c:pt>
                <c:pt idx="1">
                  <c:v>2010</c:v>
                </c:pt>
                <c:pt idx="2">
                  <c:v>2011</c:v>
                </c:pt>
                <c:pt idx="3">
                  <c:v>2012</c:v>
                </c:pt>
                <c:pt idx="4">
                  <c:v>2013</c:v>
                </c:pt>
                <c:pt idx="5">
                  <c:v>2014</c:v>
                </c:pt>
                <c:pt idx="6">
                  <c:v>2015</c:v>
                </c:pt>
              </c:numCache>
            </c:numRef>
          </c:cat>
          <c:val>
            <c:numRef>
              <c:f>Feuil1!$B$2:$B$8</c:f>
              <c:numCache>
                <c:formatCode>General</c:formatCode>
                <c:ptCount val="7"/>
                <c:pt idx="0">
                  <c:v>2.2000000000000002</c:v>
                </c:pt>
                <c:pt idx="1">
                  <c:v>3.3</c:v>
                </c:pt>
                <c:pt idx="2">
                  <c:v>2.5</c:v>
                </c:pt>
                <c:pt idx="3">
                  <c:v>3.5</c:v>
                </c:pt>
                <c:pt idx="4">
                  <c:v>4.9000000000000004</c:v>
                </c:pt>
                <c:pt idx="5">
                  <c:v>3.7</c:v>
                </c:pt>
                <c:pt idx="6">
                  <c:v>3.9</c:v>
                </c:pt>
              </c:numCache>
            </c:numRef>
          </c:val>
        </c:ser>
        <c:ser>
          <c:idx val="1"/>
          <c:order val="1"/>
          <c:tx>
            <c:strRef>
              <c:f>Feuil1!$C$1</c:f>
              <c:strCache>
                <c:ptCount val="1"/>
                <c:pt idx="0">
                  <c:v>taux de croissance du PIB HH</c:v>
                </c:pt>
              </c:strCache>
            </c:strRef>
          </c:tx>
          <c:invertIfNegative val="0"/>
          <c:cat>
            <c:numRef>
              <c:f>Feuil1!$A$2:$A$8</c:f>
              <c:numCache>
                <c:formatCode>General</c:formatCode>
                <c:ptCount val="7"/>
                <c:pt idx="0">
                  <c:v>2009</c:v>
                </c:pt>
                <c:pt idx="1">
                  <c:v>2010</c:v>
                </c:pt>
                <c:pt idx="2">
                  <c:v>2011</c:v>
                </c:pt>
                <c:pt idx="3">
                  <c:v>2012</c:v>
                </c:pt>
                <c:pt idx="4">
                  <c:v>2013</c:v>
                </c:pt>
                <c:pt idx="5">
                  <c:v>2014</c:v>
                </c:pt>
                <c:pt idx="6">
                  <c:v>2015</c:v>
                </c:pt>
              </c:numCache>
            </c:numRef>
          </c:cat>
          <c:val>
            <c:numRef>
              <c:f>Feuil1!$C$2:$C$8</c:f>
              <c:numCache>
                <c:formatCode>General</c:formatCode>
                <c:ptCount val="7"/>
                <c:pt idx="0">
                  <c:v>9</c:v>
                </c:pt>
                <c:pt idx="1">
                  <c:v>6</c:v>
                </c:pt>
                <c:pt idx="2">
                  <c:v>5.0999999999999996</c:v>
                </c:pt>
                <c:pt idx="3">
                  <c:v>5</c:v>
                </c:pt>
                <c:pt idx="4">
                  <c:v>4.9000000000000004</c:v>
                </c:pt>
                <c:pt idx="5">
                  <c:v>5.5</c:v>
                </c:pt>
                <c:pt idx="6">
                  <c:v>3.9</c:v>
                </c:pt>
              </c:numCache>
            </c:numRef>
          </c:val>
        </c:ser>
        <c:dLbls>
          <c:showLegendKey val="0"/>
          <c:showVal val="0"/>
          <c:showCatName val="0"/>
          <c:showSerName val="0"/>
          <c:showPercent val="0"/>
          <c:showBubbleSize val="0"/>
        </c:dLbls>
        <c:gapWidth val="150"/>
        <c:axId val="260806528"/>
        <c:axId val="260808064"/>
      </c:barChart>
      <c:catAx>
        <c:axId val="260806528"/>
        <c:scaling>
          <c:orientation val="minMax"/>
        </c:scaling>
        <c:delete val="0"/>
        <c:axPos val="b"/>
        <c:numFmt formatCode="General" sourceLinked="1"/>
        <c:majorTickMark val="out"/>
        <c:minorTickMark val="none"/>
        <c:tickLblPos val="nextTo"/>
        <c:crossAx val="260808064"/>
        <c:crosses val="autoZero"/>
        <c:auto val="1"/>
        <c:lblAlgn val="ctr"/>
        <c:lblOffset val="100"/>
        <c:noMultiLvlLbl val="0"/>
      </c:catAx>
      <c:valAx>
        <c:axId val="260808064"/>
        <c:scaling>
          <c:orientation val="minMax"/>
        </c:scaling>
        <c:delete val="0"/>
        <c:axPos val="l"/>
        <c:majorGridlines/>
        <c:numFmt formatCode="General" sourceLinked="1"/>
        <c:majorTickMark val="out"/>
        <c:minorTickMark val="none"/>
        <c:tickLblPos val="nextTo"/>
        <c:crossAx val="260806528"/>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Feuil1!$B$1</c:f>
              <c:strCache>
                <c:ptCount val="1"/>
                <c:pt idx="0">
                  <c:v>crédit intérieur </c:v>
                </c:pt>
              </c:strCache>
            </c:strRef>
          </c:tx>
          <c:invertIfNegative val="0"/>
          <c:cat>
            <c:numRef>
              <c:f>Feuil1!$A$2:$A$6</c:f>
              <c:numCache>
                <c:formatCode>General</c:formatCode>
                <c:ptCount val="5"/>
                <c:pt idx="0">
                  <c:v>2009</c:v>
                </c:pt>
                <c:pt idx="1">
                  <c:v>2010</c:v>
                </c:pt>
                <c:pt idx="2">
                  <c:v>2011</c:v>
                </c:pt>
                <c:pt idx="3">
                  <c:v>2012</c:v>
                </c:pt>
                <c:pt idx="4">
                  <c:v>2013</c:v>
                </c:pt>
              </c:numCache>
            </c:numRef>
          </c:cat>
          <c:val>
            <c:numRef>
              <c:f>Feuil1!$B$2:$B$6</c:f>
              <c:numCache>
                <c:formatCode>General</c:formatCode>
                <c:ptCount val="5"/>
                <c:pt idx="0">
                  <c:v>3500</c:v>
                </c:pt>
                <c:pt idx="1">
                  <c:v>4000</c:v>
                </c:pt>
                <c:pt idx="2">
                  <c:v>4800</c:v>
                </c:pt>
                <c:pt idx="3">
                  <c:v>5300</c:v>
                </c:pt>
                <c:pt idx="4">
                  <c:v>6000</c:v>
                </c:pt>
              </c:numCache>
            </c:numRef>
          </c:val>
        </c:ser>
        <c:ser>
          <c:idx val="1"/>
          <c:order val="1"/>
          <c:tx>
            <c:strRef>
              <c:f>Feuil1!$C$1</c:f>
              <c:strCache>
                <c:ptCount val="1"/>
                <c:pt idx="0">
                  <c:v>dépôts collectés en dinars</c:v>
                </c:pt>
              </c:strCache>
            </c:strRef>
          </c:tx>
          <c:invertIfNegative val="0"/>
          <c:cat>
            <c:numRef>
              <c:f>Feuil1!$A$2:$A$6</c:f>
              <c:numCache>
                <c:formatCode>General</c:formatCode>
                <c:ptCount val="5"/>
                <c:pt idx="0">
                  <c:v>2009</c:v>
                </c:pt>
                <c:pt idx="1">
                  <c:v>2010</c:v>
                </c:pt>
                <c:pt idx="2">
                  <c:v>2011</c:v>
                </c:pt>
                <c:pt idx="3">
                  <c:v>2012</c:v>
                </c:pt>
                <c:pt idx="4">
                  <c:v>2013</c:v>
                </c:pt>
              </c:numCache>
            </c:numRef>
          </c:cat>
          <c:val>
            <c:numRef>
              <c:f>Feuil1!$C$2:$C$6</c:f>
              <c:numCache>
                <c:formatCode>General</c:formatCode>
                <c:ptCount val="5"/>
                <c:pt idx="0">
                  <c:v>4900</c:v>
                </c:pt>
                <c:pt idx="1">
                  <c:v>5600</c:v>
                </c:pt>
                <c:pt idx="2">
                  <c:v>6500</c:v>
                </c:pt>
                <c:pt idx="3">
                  <c:v>6900</c:v>
                </c:pt>
                <c:pt idx="4">
                  <c:v>7300</c:v>
                </c:pt>
              </c:numCache>
            </c:numRef>
          </c:val>
        </c:ser>
        <c:dLbls>
          <c:showLegendKey val="0"/>
          <c:showVal val="0"/>
          <c:showCatName val="0"/>
          <c:showSerName val="0"/>
          <c:showPercent val="0"/>
          <c:showBubbleSize val="0"/>
        </c:dLbls>
        <c:gapWidth val="150"/>
        <c:axId val="260792320"/>
        <c:axId val="260793856"/>
      </c:barChart>
      <c:catAx>
        <c:axId val="260792320"/>
        <c:scaling>
          <c:orientation val="minMax"/>
        </c:scaling>
        <c:delete val="0"/>
        <c:axPos val="b"/>
        <c:numFmt formatCode="General" sourceLinked="1"/>
        <c:majorTickMark val="out"/>
        <c:minorTickMark val="none"/>
        <c:tickLblPos val="nextTo"/>
        <c:crossAx val="260793856"/>
        <c:crosses val="autoZero"/>
        <c:auto val="1"/>
        <c:lblAlgn val="ctr"/>
        <c:lblOffset val="100"/>
        <c:noMultiLvlLbl val="0"/>
      </c:catAx>
      <c:valAx>
        <c:axId val="260793856"/>
        <c:scaling>
          <c:orientation val="minMax"/>
        </c:scaling>
        <c:delete val="0"/>
        <c:axPos val="l"/>
        <c:majorGridlines/>
        <c:numFmt formatCode="General" sourceLinked="1"/>
        <c:majorTickMark val="out"/>
        <c:minorTickMark val="none"/>
        <c:tickLblPos val="nextTo"/>
        <c:crossAx val="260792320"/>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9F8BE8-5FCD-4884-87FF-D7B578016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103</Pages>
  <Words>20505</Words>
  <Characters>112782</Characters>
  <Application>Microsoft Office Word</Application>
  <DocSecurity>0</DocSecurity>
  <Lines>939</Lines>
  <Paragraphs>266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133021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rkerdous</dc:creator>
  <cp:lastModifiedBy>compta2014</cp:lastModifiedBy>
  <cp:revision>2</cp:revision>
  <cp:lastPrinted>2015-10-08T08:08:00Z</cp:lastPrinted>
  <dcterms:created xsi:type="dcterms:W3CDTF">2015-11-07T21:16:00Z</dcterms:created>
  <dcterms:modified xsi:type="dcterms:W3CDTF">2015-11-07T21:16:00Z</dcterms:modified>
</cp:coreProperties>
</file>